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25229" w14:textId="77777777" w:rsidR="00613670" w:rsidRDefault="00613670" w:rsidP="00613670">
      <w:pPr>
        <w:jc w:val="center"/>
        <w:rPr>
          <w:b/>
          <w:bCs/>
        </w:rPr>
      </w:pPr>
      <w:r>
        <w:rPr>
          <w:b/>
          <w:bCs/>
        </w:rPr>
        <w:t xml:space="preserve">BRIDGING DIDATIC AND EXPERENTIAL LEARNING: A CUMULATIVE REFLECTION ON THE BIOMEDICAL SCIENCES PROGRAM </w:t>
      </w:r>
    </w:p>
    <w:p w14:paraId="0046A5F9" w14:textId="77777777" w:rsidR="00613670" w:rsidRDefault="00613670" w:rsidP="00613670">
      <w:pPr>
        <w:jc w:val="center"/>
        <w:rPr>
          <w:b/>
          <w:bCs/>
        </w:rPr>
      </w:pPr>
    </w:p>
    <w:p w14:paraId="3159E1FA" w14:textId="77777777" w:rsidR="00613670" w:rsidRDefault="00613670" w:rsidP="00613670">
      <w:pPr>
        <w:jc w:val="center"/>
        <w:rPr>
          <w:b/>
          <w:bCs/>
        </w:rPr>
      </w:pPr>
    </w:p>
    <w:p w14:paraId="603F0737" w14:textId="77777777" w:rsidR="00613670" w:rsidRDefault="00613670" w:rsidP="00613670">
      <w:pPr>
        <w:jc w:val="center"/>
        <w:rPr>
          <w:b/>
          <w:bCs/>
        </w:rPr>
      </w:pPr>
    </w:p>
    <w:p w14:paraId="6D04B792" w14:textId="77777777" w:rsidR="00613670" w:rsidRDefault="00613670" w:rsidP="00613670">
      <w:pPr>
        <w:jc w:val="center"/>
        <w:rPr>
          <w:b/>
          <w:bCs/>
        </w:rPr>
      </w:pPr>
    </w:p>
    <w:p w14:paraId="69036023" w14:textId="77777777" w:rsidR="00613670" w:rsidRDefault="00613670" w:rsidP="00613670">
      <w:pPr>
        <w:jc w:val="center"/>
        <w:rPr>
          <w:b/>
          <w:bCs/>
        </w:rPr>
      </w:pPr>
      <w:r>
        <w:rPr>
          <w:b/>
          <w:bCs/>
        </w:rPr>
        <w:t>Sarah Josiah-Otto</w:t>
      </w:r>
    </w:p>
    <w:p w14:paraId="418C018C" w14:textId="77777777" w:rsidR="00613670" w:rsidRDefault="00613670" w:rsidP="00613670">
      <w:pPr>
        <w:jc w:val="center"/>
        <w:rPr>
          <w:b/>
          <w:bCs/>
        </w:rPr>
      </w:pPr>
    </w:p>
    <w:p w14:paraId="332421BD" w14:textId="77777777" w:rsidR="00613670" w:rsidRDefault="00613670" w:rsidP="00613670">
      <w:pPr>
        <w:jc w:val="center"/>
        <w:rPr>
          <w:b/>
          <w:bCs/>
        </w:rPr>
      </w:pPr>
    </w:p>
    <w:p w14:paraId="0C2F2D40" w14:textId="77777777" w:rsidR="00613670" w:rsidRDefault="00613670" w:rsidP="00613670">
      <w:pPr>
        <w:jc w:val="center"/>
        <w:rPr>
          <w:b/>
          <w:bCs/>
        </w:rPr>
      </w:pPr>
    </w:p>
    <w:p w14:paraId="08E79EB6" w14:textId="77777777" w:rsidR="00613670" w:rsidRPr="007A6727" w:rsidRDefault="00613670" w:rsidP="00613670">
      <w:pPr>
        <w:jc w:val="center"/>
        <w:rPr>
          <w:b/>
          <w:bCs/>
        </w:rPr>
      </w:pPr>
    </w:p>
    <w:p w14:paraId="38C050E8" w14:textId="77777777" w:rsidR="00613670" w:rsidRPr="007A6727" w:rsidRDefault="00613670" w:rsidP="00613670">
      <w:pPr>
        <w:jc w:val="center"/>
        <w:rPr>
          <w:b/>
          <w:bCs/>
        </w:rPr>
      </w:pPr>
      <w:r w:rsidRPr="007A6727">
        <w:rPr>
          <w:b/>
          <w:bCs/>
        </w:rPr>
        <w:t>Presented to the Faculty of Miami University in partial</w:t>
      </w:r>
    </w:p>
    <w:p w14:paraId="44ECB53D" w14:textId="77777777" w:rsidR="00613670" w:rsidRPr="007A6727" w:rsidRDefault="00613670" w:rsidP="00613670">
      <w:pPr>
        <w:jc w:val="center"/>
        <w:rPr>
          <w:b/>
          <w:bCs/>
        </w:rPr>
      </w:pPr>
      <w:r w:rsidRPr="007A6727">
        <w:rPr>
          <w:b/>
          <w:bCs/>
        </w:rPr>
        <w:t>fulfillment of the requirements</w:t>
      </w:r>
    </w:p>
    <w:p w14:paraId="47F1C0A6" w14:textId="77777777" w:rsidR="00613670" w:rsidRDefault="00613670" w:rsidP="00613670">
      <w:pPr>
        <w:jc w:val="center"/>
        <w:rPr>
          <w:b/>
          <w:bCs/>
        </w:rPr>
      </w:pPr>
      <w:r w:rsidRPr="007A6727">
        <w:rPr>
          <w:b/>
          <w:bCs/>
        </w:rPr>
        <w:t>for the degree of</w:t>
      </w:r>
    </w:p>
    <w:p w14:paraId="207871D4" w14:textId="77777777" w:rsidR="00613670" w:rsidRDefault="00613670" w:rsidP="00613670">
      <w:pPr>
        <w:jc w:val="center"/>
        <w:rPr>
          <w:b/>
          <w:bCs/>
        </w:rPr>
      </w:pPr>
    </w:p>
    <w:p w14:paraId="47B39D78" w14:textId="77777777" w:rsidR="00613670" w:rsidRDefault="00613670" w:rsidP="00613670">
      <w:pPr>
        <w:jc w:val="center"/>
        <w:rPr>
          <w:b/>
          <w:bCs/>
        </w:rPr>
      </w:pPr>
    </w:p>
    <w:p w14:paraId="50ACDB0F" w14:textId="77777777" w:rsidR="00613670" w:rsidRPr="007A6727" w:rsidRDefault="00613670" w:rsidP="00613670">
      <w:pPr>
        <w:jc w:val="center"/>
        <w:rPr>
          <w:b/>
          <w:bCs/>
        </w:rPr>
      </w:pPr>
    </w:p>
    <w:p w14:paraId="125CBFD2" w14:textId="77777777" w:rsidR="00613670" w:rsidRDefault="00613670" w:rsidP="00613670">
      <w:pPr>
        <w:jc w:val="center"/>
        <w:rPr>
          <w:b/>
          <w:bCs/>
        </w:rPr>
      </w:pPr>
      <w:r w:rsidRPr="007A6727">
        <w:rPr>
          <w:b/>
          <w:bCs/>
        </w:rPr>
        <w:t>Master of Medical Science</w:t>
      </w:r>
    </w:p>
    <w:p w14:paraId="0B3787F3" w14:textId="77777777" w:rsidR="00613670" w:rsidRDefault="00613670" w:rsidP="00613670">
      <w:pPr>
        <w:jc w:val="center"/>
        <w:rPr>
          <w:b/>
          <w:bCs/>
        </w:rPr>
      </w:pPr>
    </w:p>
    <w:p w14:paraId="6C6732A4" w14:textId="77777777" w:rsidR="00613670" w:rsidRPr="007A6727" w:rsidRDefault="00613670" w:rsidP="00613670">
      <w:pPr>
        <w:jc w:val="center"/>
        <w:rPr>
          <w:b/>
          <w:bCs/>
        </w:rPr>
      </w:pPr>
    </w:p>
    <w:p w14:paraId="4E0EB4B7" w14:textId="77777777" w:rsidR="00613670" w:rsidRDefault="00613670" w:rsidP="00613670">
      <w:pPr>
        <w:jc w:val="center"/>
        <w:rPr>
          <w:b/>
          <w:bCs/>
        </w:rPr>
      </w:pPr>
      <w:r w:rsidRPr="007A6727">
        <w:rPr>
          <w:b/>
          <w:bCs/>
        </w:rPr>
        <w:t>Department of Biomedical Science</w:t>
      </w:r>
    </w:p>
    <w:p w14:paraId="2537A2FA" w14:textId="77777777" w:rsidR="00613670" w:rsidRDefault="00613670" w:rsidP="00613670">
      <w:pPr>
        <w:jc w:val="center"/>
        <w:rPr>
          <w:b/>
          <w:bCs/>
        </w:rPr>
      </w:pPr>
    </w:p>
    <w:p w14:paraId="62742A22" w14:textId="77777777" w:rsidR="00613670" w:rsidRPr="007A6727" w:rsidRDefault="00613670" w:rsidP="00613670">
      <w:pPr>
        <w:jc w:val="center"/>
        <w:rPr>
          <w:b/>
          <w:bCs/>
        </w:rPr>
      </w:pPr>
    </w:p>
    <w:p w14:paraId="1D8147F9" w14:textId="77777777" w:rsidR="00613670" w:rsidRPr="007A6727" w:rsidRDefault="00613670" w:rsidP="00613670">
      <w:pPr>
        <w:jc w:val="center"/>
        <w:rPr>
          <w:b/>
          <w:bCs/>
        </w:rPr>
      </w:pPr>
      <w:r w:rsidRPr="007A6727">
        <w:rPr>
          <w:b/>
          <w:bCs/>
        </w:rPr>
        <w:t>The College of Arts &amp; Science</w:t>
      </w:r>
    </w:p>
    <w:p w14:paraId="03B2EB56" w14:textId="77777777" w:rsidR="00613670" w:rsidRPr="007A6727" w:rsidRDefault="00613670" w:rsidP="00613670">
      <w:pPr>
        <w:jc w:val="center"/>
        <w:rPr>
          <w:b/>
          <w:bCs/>
        </w:rPr>
      </w:pPr>
      <w:r w:rsidRPr="007A6727">
        <w:rPr>
          <w:b/>
          <w:bCs/>
        </w:rPr>
        <w:t>The Graduate School</w:t>
      </w:r>
    </w:p>
    <w:p w14:paraId="01FAE77C" w14:textId="77777777" w:rsidR="00613670" w:rsidRPr="007A6727" w:rsidRDefault="00613670" w:rsidP="00613670">
      <w:pPr>
        <w:jc w:val="center"/>
        <w:rPr>
          <w:b/>
          <w:bCs/>
        </w:rPr>
      </w:pPr>
      <w:r w:rsidRPr="007A6727">
        <w:rPr>
          <w:b/>
          <w:bCs/>
        </w:rPr>
        <w:t>Miami University</w:t>
      </w:r>
    </w:p>
    <w:p w14:paraId="118F3E17" w14:textId="77777777" w:rsidR="00613670" w:rsidRDefault="00613670" w:rsidP="00613670">
      <w:pPr>
        <w:jc w:val="center"/>
        <w:rPr>
          <w:b/>
          <w:bCs/>
        </w:rPr>
      </w:pPr>
      <w:r w:rsidRPr="007A6727">
        <w:rPr>
          <w:b/>
          <w:bCs/>
        </w:rPr>
        <w:t>Oxford, Ohio</w:t>
      </w:r>
    </w:p>
    <w:p w14:paraId="3F4DBB1F" w14:textId="77777777" w:rsidR="00613670" w:rsidRDefault="00613670" w:rsidP="00613670">
      <w:pPr>
        <w:jc w:val="center"/>
        <w:rPr>
          <w:b/>
          <w:bCs/>
        </w:rPr>
      </w:pPr>
    </w:p>
    <w:p w14:paraId="241058AC" w14:textId="77777777" w:rsidR="00613670" w:rsidRDefault="00613670" w:rsidP="00613670">
      <w:pPr>
        <w:jc w:val="center"/>
        <w:rPr>
          <w:b/>
          <w:bCs/>
        </w:rPr>
      </w:pPr>
    </w:p>
    <w:p w14:paraId="2226921B" w14:textId="77777777" w:rsidR="00613670" w:rsidRDefault="00613670" w:rsidP="00613670">
      <w:pPr>
        <w:jc w:val="center"/>
        <w:rPr>
          <w:b/>
          <w:bCs/>
        </w:rPr>
      </w:pPr>
      <w:r>
        <w:rPr>
          <w:b/>
          <w:bCs/>
        </w:rPr>
        <w:t>2026</w:t>
      </w:r>
    </w:p>
    <w:p w14:paraId="3CBFE48F" w14:textId="77777777" w:rsidR="00613670" w:rsidRDefault="00613670" w:rsidP="00613670">
      <w:pPr>
        <w:jc w:val="center"/>
        <w:rPr>
          <w:b/>
          <w:bCs/>
        </w:rPr>
      </w:pPr>
    </w:p>
    <w:p w14:paraId="28B0181E" w14:textId="77777777" w:rsidR="00613670" w:rsidRDefault="00613670" w:rsidP="00613670">
      <w:pPr>
        <w:jc w:val="center"/>
        <w:rPr>
          <w:b/>
          <w:bCs/>
        </w:rPr>
      </w:pPr>
    </w:p>
    <w:p w14:paraId="069A0C65" w14:textId="77777777" w:rsidR="00613670" w:rsidRDefault="00613670" w:rsidP="00613670">
      <w:pPr>
        <w:jc w:val="center"/>
        <w:rPr>
          <w:b/>
          <w:bCs/>
        </w:rPr>
      </w:pPr>
    </w:p>
    <w:p w14:paraId="5EDA3BD5" w14:textId="77777777" w:rsidR="00613670" w:rsidRPr="00051F60" w:rsidRDefault="00613670" w:rsidP="00613670">
      <w:pPr>
        <w:rPr>
          <w:b/>
          <w:bCs/>
          <w:lang w:val="fr-FR"/>
        </w:rPr>
      </w:pPr>
      <w:r w:rsidRPr="00051F60">
        <w:rPr>
          <w:b/>
          <w:bCs/>
          <w:lang w:val="fr-FR"/>
        </w:rPr>
        <w:t>Dr. Michael Crowder, Program Dire</w:t>
      </w:r>
      <w:r>
        <w:rPr>
          <w:b/>
          <w:bCs/>
          <w:lang w:val="fr-FR"/>
        </w:rPr>
        <w:t>ctor</w:t>
      </w:r>
    </w:p>
    <w:p w14:paraId="75363C9B" w14:textId="77777777" w:rsidR="00613670" w:rsidRPr="00C10B3C" w:rsidRDefault="00613670" w:rsidP="00613670">
      <w:pPr>
        <w:rPr>
          <w:b/>
          <w:bCs/>
        </w:rPr>
      </w:pPr>
      <w:r w:rsidRPr="00C10B3C">
        <w:rPr>
          <w:b/>
          <w:bCs/>
        </w:rPr>
        <w:t xml:space="preserve">Dr. David DeLaet, </w:t>
      </w:r>
      <w:r>
        <w:rPr>
          <w:b/>
          <w:bCs/>
        </w:rPr>
        <w:t>Assistant Program</w:t>
      </w:r>
      <w:r w:rsidRPr="00C10B3C">
        <w:rPr>
          <w:b/>
          <w:bCs/>
        </w:rPr>
        <w:t xml:space="preserve"> Director</w:t>
      </w:r>
    </w:p>
    <w:p w14:paraId="3CC00B88" w14:textId="77777777" w:rsidR="00613670" w:rsidRDefault="00613670" w:rsidP="00613670">
      <w:pPr>
        <w:rPr>
          <w:b/>
          <w:bCs/>
        </w:rPr>
      </w:pPr>
      <w:r w:rsidRPr="00C10B3C">
        <w:rPr>
          <w:b/>
          <w:bCs/>
        </w:rPr>
        <w:t xml:space="preserve">Dr. </w:t>
      </w:r>
      <w:r>
        <w:rPr>
          <w:b/>
          <w:bCs/>
        </w:rPr>
        <w:t>Joe Carlin</w:t>
      </w:r>
      <w:r w:rsidRPr="00C10B3C">
        <w:rPr>
          <w:b/>
          <w:bCs/>
        </w:rPr>
        <w:t>, Professor</w:t>
      </w:r>
    </w:p>
    <w:p w14:paraId="2E873899" w14:textId="77777777" w:rsidR="00613670" w:rsidRDefault="00613670" w:rsidP="00613670">
      <w:pPr>
        <w:jc w:val="center"/>
        <w:rPr>
          <w:b/>
          <w:bCs/>
        </w:rPr>
      </w:pPr>
    </w:p>
    <w:p w14:paraId="14931768" w14:textId="77777777" w:rsidR="00613670" w:rsidRDefault="00613670" w:rsidP="00613670">
      <w:pPr>
        <w:rPr>
          <w:b/>
          <w:bCs/>
        </w:rPr>
      </w:pPr>
      <w:r>
        <w:rPr>
          <w:b/>
          <w:bCs/>
        </w:rPr>
        <w:br w:type="page"/>
      </w:r>
    </w:p>
    <w:p w14:paraId="69F5B1BE" w14:textId="77777777" w:rsidR="00613670" w:rsidRDefault="00613670" w:rsidP="00613670">
      <w:pPr>
        <w:jc w:val="center"/>
        <w:rPr>
          <w:b/>
          <w:bCs/>
        </w:rPr>
      </w:pPr>
    </w:p>
    <w:p w14:paraId="11B0B25F" w14:textId="77777777" w:rsidR="00613670" w:rsidRDefault="00613670" w:rsidP="00613670">
      <w:pPr>
        <w:jc w:val="center"/>
        <w:rPr>
          <w:b/>
          <w:bCs/>
        </w:rPr>
      </w:pPr>
    </w:p>
    <w:p w14:paraId="42B7B303" w14:textId="77777777" w:rsidR="00613670" w:rsidRDefault="00613670" w:rsidP="00613670">
      <w:pPr>
        <w:jc w:val="center"/>
        <w:rPr>
          <w:b/>
          <w:bCs/>
        </w:rPr>
      </w:pPr>
    </w:p>
    <w:p w14:paraId="1C5B6564" w14:textId="77777777" w:rsidR="00613670" w:rsidRDefault="00613670" w:rsidP="00613670">
      <w:pPr>
        <w:jc w:val="center"/>
        <w:rPr>
          <w:b/>
          <w:bCs/>
        </w:rPr>
      </w:pPr>
    </w:p>
    <w:p w14:paraId="794D64FF" w14:textId="77777777" w:rsidR="00613670" w:rsidRDefault="00613670" w:rsidP="00613670">
      <w:pPr>
        <w:jc w:val="center"/>
        <w:rPr>
          <w:b/>
          <w:bCs/>
        </w:rPr>
      </w:pPr>
      <w:r w:rsidRPr="0099676D">
        <w:rPr>
          <w:b/>
          <w:bCs/>
        </w:rPr>
        <w:t>©</w:t>
      </w:r>
    </w:p>
    <w:p w14:paraId="29288944" w14:textId="77777777" w:rsidR="00613670" w:rsidRDefault="00613670" w:rsidP="00613670">
      <w:pPr>
        <w:jc w:val="center"/>
        <w:rPr>
          <w:b/>
          <w:bCs/>
        </w:rPr>
      </w:pPr>
    </w:p>
    <w:p w14:paraId="1326CE7F" w14:textId="77777777" w:rsidR="00613670" w:rsidRDefault="00613670" w:rsidP="00613670">
      <w:pPr>
        <w:jc w:val="center"/>
        <w:rPr>
          <w:b/>
          <w:bCs/>
        </w:rPr>
      </w:pPr>
    </w:p>
    <w:p w14:paraId="52CC9AFA" w14:textId="77777777" w:rsidR="00613670" w:rsidRPr="0099676D" w:rsidRDefault="00613670" w:rsidP="00613670">
      <w:pPr>
        <w:jc w:val="center"/>
        <w:rPr>
          <w:b/>
          <w:bCs/>
        </w:rPr>
      </w:pPr>
    </w:p>
    <w:p w14:paraId="0E62558B" w14:textId="77777777" w:rsidR="00613670" w:rsidRDefault="00613670" w:rsidP="00613670">
      <w:pPr>
        <w:jc w:val="center"/>
        <w:rPr>
          <w:b/>
          <w:bCs/>
        </w:rPr>
      </w:pPr>
      <w:r>
        <w:rPr>
          <w:b/>
          <w:bCs/>
        </w:rPr>
        <w:t>Sarah Josiah-Otto</w:t>
      </w:r>
    </w:p>
    <w:p w14:paraId="6D787E79" w14:textId="77777777" w:rsidR="00613670" w:rsidRDefault="00613670" w:rsidP="00613670">
      <w:pPr>
        <w:jc w:val="center"/>
        <w:rPr>
          <w:b/>
          <w:bCs/>
        </w:rPr>
      </w:pPr>
    </w:p>
    <w:p w14:paraId="4298E503" w14:textId="77777777" w:rsidR="00613670" w:rsidRDefault="00613670" w:rsidP="00613670">
      <w:pPr>
        <w:jc w:val="center"/>
        <w:rPr>
          <w:b/>
          <w:bCs/>
        </w:rPr>
      </w:pPr>
    </w:p>
    <w:p w14:paraId="7E968412" w14:textId="77777777" w:rsidR="00613670" w:rsidRPr="0099676D" w:rsidRDefault="00613670" w:rsidP="00613670">
      <w:pPr>
        <w:jc w:val="center"/>
        <w:rPr>
          <w:b/>
          <w:bCs/>
        </w:rPr>
      </w:pPr>
    </w:p>
    <w:p w14:paraId="6F559A87" w14:textId="77777777" w:rsidR="00613670" w:rsidRDefault="00613670" w:rsidP="00613670">
      <w:pPr>
        <w:jc w:val="center"/>
        <w:rPr>
          <w:b/>
          <w:bCs/>
        </w:rPr>
      </w:pPr>
      <w:r w:rsidRPr="0099676D">
        <w:rPr>
          <w:b/>
          <w:bCs/>
        </w:rPr>
        <w:t>202</w:t>
      </w:r>
      <w:r>
        <w:rPr>
          <w:b/>
          <w:bCs/>
        </w:rPr>
        <w:t>6</w:t>
      </w:r>
    </w:p>
    <w:p w14:paraId="42160DC7" w14:textId="77777777" w:rsidR="00613670" w:rsidRDefault="00613670" w:rsidP="00613670">
      <w:pPr>
        <w:rPr>
          <w:b/>
          <w:bCs/>
        </w:rPr>
      </w:pPr>
      <w:r>
        <w:rPr>
          <w:b/>
          <w:bCs/>
        </w:rPr>
        <w:br w:type="page"/>
      </w:r>
    </w:p>
    <w:p w14:paraId="631B51F3" w14:textId="77777777" w:rsidR="00613670" w:rsidRDefault="00613670" w:rsidP="00613670">
      <w:pPr>
        <w:jc w:val="center"/>
        <w:rPr>
          <w:b/>
          <w:bCs/>
        </w:rPr>
      </w:pPr>
      <w:r>
        <w:rPr>
          <w:b/>
          <w:bCs/>
        </w:rPr>
        <w:lastRenderedPageBreak/>
        <w:t>Introduction</w:t>
      </w:r>
    </w:p>
    <w:p w14:paraId="2A23BC22" w14:textId="77777777" w:rsidR="00613670" w:rsidRDefault="00613670" w:rsidP="00613670"/>
    <w:p w14:paraId="37F52A8F" w14:textId="77777777" w:rsidR="00613670" w:rsidRDefault="00613670" w:rsidP="00613670">
      <w:pPr>
        <w:spacing w:before="120" w:after="120" w:line="480" w:lineRule="auto"/>
        <w:ind w:firstLine="720"/>
      </w:pPr>
      <w:r>
        <w:t>The Master of Medical Science in Biomedical Sciences (MMSc. in BMS) program is built on the principle that becoming a skilled healthcare provider requires more than mastering scientific content; it demands the ability to apply that knowledge meaningfully in real clinical environments. This written project captures the culminating experience of that journey through four reflective perspectives: “From the Classroom to the Clinic,” “Framing a Clinical Question and Interrogating the Literature,” “Reflection on Effective Communication in Healthcare,” and “Reflection on Psychosocial Determinants of Health.”</w:t>
      </w:r>
    </w:p>
    <w:p w14:paraId="536E915B" w14:textId="77777777" w:rsidR="00613670" w:rsidRDefault="00613670" w:rsidP="00613670">
      <w:pPr>
        <w:spacing w:before="120" w:after="120" w:line="480" w:lineRule="auto"/>
        <w:ind w:firstLine="720"/>
      </w:pPr>
      <w:r>
        <w:t>Through my engagement in the program, I have developed the ability to think more critically, ask more focused clinical questions, and evaluate evidence in ways that are directly applicable to patient care. The program’s experiential learning component brought those skills to life, allowing me to witness firsthand how science, communication, and compassion intersect in clinical practice. From observing how providers deliver difficult diagnoses to understanding how a patient’s social circumstances can determine whether a treatment plan is realistic, each experience added a dimension to my education that no textbook alone could provide.</w:t>
      </w:r>
    </w:p>
    <w:p w14:paraId="53CB2EFE" w14:textId="77777777" w:rsidR="00613670" w:rsidRDefault="00613670" w:rsidP="00613670">
      <w:pPr>
        <w:spacing w:before="120" w:after="120" w:line="480" w:lineRule="auto"/>
        <w:ind w:firstLine="720"/>
      </w:pPr>
      <w:r>
        <w:t xml:space="preserve">This program has been more than an academic achievement; it has been a period of genuine personal and professional growth. The challenges I encountered along the way have prepared me to approach a career in healthcare with greater confidence, humility, and purpose. I hope the reflections in this report communicate not only what I have learned but how this experience has shaped the kind of eye care provider I strive to become. </w:t>
      </w:r>
    </w:p>
    <w:p w14:paraId="34D6A56F" w14:textId="77777777" w:rsidR="00613670" w:rsidRDefault="00613670" w:rsidP="00613670">
      <w:pPr>
        <w:spacing w:before="120" w:after="120"/>
      </w:pPr>
    </w:p>
    <w:p w14:paraId="29956107" w14:textId="77777777" w:rsidR="00613670" w:rsidRDefault="00613670" w:rsidP="00613670"/>
    <w:p w14:paraId="62B80AE1" w14:textId="77777777" w:rsidR="00613670" w:rsidRDefault="00613670" w:rsidP="00613670"/>
    <w:p w14:paraId="49864290" w14:textId="77777777" w:rsidR="00613670" w:rsidRDefault="00613670" w:rsidP="00613670"/>
    <w:p w14:paraId="3EB46C93" w14:textId="77777777" w:rsidR="00613670" w:rsidRDefault="00613670" w:rsidP="00613670"/>
    <w:p w14:paraId="2AB60A36" w14:textId="77777777" w:rsidR="00613670" w:rsidRDefault="00613670" w:rsidP="00613670"/>
    <w:p w14:paraId="24B2860C" w14:textId="77777777" w:rsidR="00613670" w:rsidRDefault="00613670" w:rsidP="00613670"/>
    <w:p w14:paraId="6FCD3853" w14:textId="77777777" w:rsidR="00613670" w:rsidRDefault="00613670" w:rsidP="00613670">
      <w:pPr>
        <w:rPr>
          <w:b/>
          <w:bCs/>
          <w:sz w:val="26"/>
          <w:szCs w:val="26"/>
        </w:rPr>
      </w:pPr>
      <w:r>
        <w:rPr>
          <w:b/>
          <w:bCs/>
          <w:sz w:val="26"/>
          <w:szCs w:val="26"/>
        </w:rPr>
        <w:lastRenderedPageBreak/>
        <w:t xml:space="preserve">Contents </w:t>
      </w:r>
    </w:p>
    <w:p w14:paraId="2EF6AA4F" w14:textId="77777777" w:rsidR="00613670" w:rsidRDefault="00613670" w:rsidP="00613670">
      <w:pPr>
        <w:rPr>
          <w:b/>
          <w:bCs/>
          <w:sz w:val="26"/>
          <w:szCs w:val="26"/>
        </w:rPr>
      </w:pPr>
    </w:p>
    <w:p w14:paraId="47F07097" w14:textId="77777777" w:rsidR="00613670" w:rsidRDefault="00613670" w:rsidP="00613670">
      <w:pPr>
        <w:spacing w:line="480" w:lineRule="auto"/>
        <w:ind w:firstLine="720"/>
      </w:pPr>
      <w:r>
        <w:t>From Classroom to the Clinic…………………………………………………………………3</w:t>
      </w:r>
    </w:p>
    <w:p w14:paraId="6E1C2D2A" w14:textId="77777777" w:rsidR="00613670" w:rsidRDefault="00613670" w:rsidP="00613670">
      <w:pPr>
        <w:spacing w:line="480" w:lineRule="auto"/>
        <w:ind w:firstLine="720"/>
        <w:rPr>
          <w:color w:val="CC0000"/>
        </w:rPr>
      </w:pPr>
      <w:r>
        <w:t>Framing a Clinical Question and Interrogating the Literature…………………….…….…6</w:t>
      </w:r>
    </w:p>
    <w:p w14:paraId="49FD9C11" w14:textId="77777777" w:rsidR="00613670" w:rsidRDefault="00613670" w:rsidP="00613670">
      <w:pPr>
        <w:spacing w:line="480" w:lineRule="auto"/>
        <w:ind w:firstLine="720"/>
      </w:pPr>
      <w:r>
        <w:t>Reflection on Effective Communication in Healthcare………………………………....… 8</w:t>
      </w:r>
    </w:p>
    <w:p w14:paraId="2159231A" w14:textId="77777777" w:rsidR="00613670" w:rsidRDefault="00613670" w:rsidP="00613670">
      <w:pPr>
        <w:spacing w:line="480" w:lineRule="auto"/>
        <w:ind w:firstLine="720"/>
        <w:rPr>
          <w:color w:val="CC0000"/>
        </w:rPr>
      </w:pPr>
      <w:r>
        <w:t>Reflection on Psychosocial Determinants of Health………………………………………12</w:t>
      </w:r>
    </w:p>
    <w:p w14:paraId="73A457A3" w14:textId="77777777" w:rsidR="00613670" w:rsidRDefault="00613670" w:rsidP="00613670">
      <w:pPr>
        <w:spacing w:line="480" w:lineRule="auto"/>
        <w:ind w:firstLine="720"/>
      </w:pPr>
      <w:r>
        <w:t>Concluding Section: Impact of Program on Your Views Towards Healthcare ……...…16</w:t>
      </w:r>
    </w:p>
    <w:p w14:paraId="02C2F517" w14:textId="77777777" w:rsidR="00613670" w:rsidRDefault="00613670" w:rsidP="00613670">
      <w:pPr>
        <w:spacing w:line="480" w:lineRule="auto"/>
        <w:ind w:firstLine="720"/>
        <w:rPr>
          <w:color w:val="CC0000"/>
        </w:rPr>
      </w:pPr>
      <w:r>
        <w:t>Bibliography……………………………………………………………………………………19</w:t>
      </w:r>
    </w:p>
    <w:p w14:paraId="0C4123FD" w14:textId="77777777" w:rsidR="00613670" w:rsidRDefault="00613670" w:rsidP="00613670"/>
    <w:p w14:paraId="3A0E4FF8" w14:textId="77777777" w:rsidR="00613670" w:rsidRDefault="00613670" w:rsidP="00613670"/>
    <w:p w14:paraId="521EAA42" w14:textId="77777777" w:rsidR="00613670" w:rsidRDefault="00613670" w:rsidP="00613670"/>
    <w:p w14:paraId="7D769A56" w14:textId="77777777" w:rsidR="00613670" w:rsidRDefault="00613670" w:rsidP="00613670"/>
    <w:p w14:paraId="4A0BD8D1" w14:textId="77777777" w:rsidR="00613670" w:rsidRDefault="00613670" w:rsidP="00613670"/>
    <w:p w14:paraId="4389A244" w14:textId="77777777" w:rsidR="00613670" w:rsidRDefault="00613670" w:rsidP="00613670"/>
    <w:p w14:paraId="1222EA77" w14:textId="77777777" w:rsidR="00613670" w:rsidRDefault="00613670" w:rsidP="00613670"/>
    <w:p w14:paraId="60898FF3" w14:textId="77777777" w:rsidR="00613670" w:rsidRDefault="00613670" w:rsidP="00613670"/>
    <w:p w14:paraId="18644A60" w14:textId="77777777" w:rsidR="00613670" w:rsidRDefault="00613670" w:rsidP="00613670"/>
    <w:p w14:paraId="5A860A55" w14:textId="77777777" w:rsidR="00613670" w:rsidRDefault="00613670" w:rsidP="00613670"/>
    <w:p w14:paraId="63474754" w14:textId="77777777" w:rsidR="00613670" w:rsidRDefault="00613670" w:rsidP="00613670"/>
    <w:p w14:paraId="4088434C" w14:textId="77777777" w:rsidR="00613670" w:rsidRDefault="00613670" w:rsidP="00613670"/>
    <w:p w14:paraId="468A9606" w14:textId="77777777" w:rsidR="00613670" w:rsidRDefault="00613670" w:rsidP="00613670"/>
    <w:p w14:paraId="4DAA2EBC" w14:textId="77777777" w:rsidR="00613670" w:rsidRDefault="00613670" w:rsidP="00613670"/>
    <w:p w14:paraId="14CFB1E0" w14:textId="77777777" w:rsidR="00613670" w:rsidRDefault="00613670" w:rsidP="00613670"/>
    <w:p w14:paraId="7EE78E1A" w14:textId="77777777" w:rsidR="00613670" w:rsidRDefault="00613670" w:rsidP="00613670"/>
    <w:p w14:paraId="14437056" w14:textId="77777777" w:rsidR="00613670" w:rsidRDefault="00613670" w:rsidP="00613670"/>
    <w:p w14:paraId="7A395480" w14:textId="77777777" w:rsidR="00613670" w:rsidRDefault="00613670" w:rsidP="00613670"/>
    <w:p w14:paraId="046BBAB9" w14:textId="77777777" w:rsidR="00613670" w:rsidRDefault="00613670" w:rsidP="00613670"/>
    <w:p w14:paraId="33E7073A" w14:textId="77777777" w:rsidR="00613670" w:rsidRDefault="00613670" w:rsidP="00613670"/>
    <w:p w14:paraId="410D0281" w14:textId="77777777" w:rsidR="00613670" w:rsidRDefault="00613670" w:rsidP="00613670"/>
    <w:p w14:paraId="2B25DED0" w14:textId="77777777" w:rsidR="00613670" w:rsidRDefault="00613670" w:rsidP="00613670"/>
    <w:p w14:paraId="66E1A422" w14:textId="77777777" w:rsidR="00613670" w:rsidRDefault="00613670" w:rsidP="00613670"/>
    <w:p w14:paraId="79628CA2" w14:textId="77777777" w:rsidR="00613670" w:rsidRDefault="00613670" w:rsidP="00613670"/>
    <w:p w14:paraId="54BA0C5A" w14:textId="77777777" w:rsidR="00613670" w:rsidRDefault="00613670" w:rsidP="00613670"/>
    <w:p w14:paraId="0078A8F3" w14:textId="77777777" w:rsidR="00613670" w:rsidRDefault="00613670" w:rsidP="00613670"/>
    <w:p w14:paraId="2FF613FF" w14:textId="77777777" w:rsidR="00613670" w:rsidRDefault="00613670" w:rsidP="00613670"/>
    <w:p w14:paraId="0E69ED71" w14:textId="77777777" w:rsidR="00613670" w:rsidRDefault="00613670" w:rsidP="00613670"/>
    <w:p w14:paraId="10C6B1D4" w14:textId="77777777" w:rsidR="00613670" w:rsidRDefault="00613670" w:rsidP="00613670"/>
    <w:p w14:paraId="31A0BC77" w14:textId="77777777" w:rsidR="00613670" w:rsidRDefault="00613670" w:rsidP="00613670"/>
    <w:p w14:paraId="7E6AE407" w14:textId="77777777" w:rsidR="00613670" w:rsidRDefault="00613670" w:rsidP="00613670">
      <w:pPr>
        <w:spacing w:line="480" w:lineRule="auto"/>
      </w:pPr>
    </w:p>
    <w:p w14:paraId="65BACAFA" w14:textId="77777777" w:rsidR="00613670" w:rsidRDefault="00613670" w:rsidP="00613670">
      <w:pPr>
        <w:spacing w:line="480" w:lineRule="auto"/>
        <w:rPr>
          <w:b/>
          <w:bCs/>
        </w:rPr>
      </w:pPr>
      <w:r>
        <w:rPr>
          <w:b/>
          <w:bCs/>
        </w:rPr>
        <w:lastRenderedPageBreak/>
        <w:t>FROM CLASSROOM TO THE CLINIC</w:t>
      </w:r>
    </w:p>
    <w:p w14:paraId="4A09C697" w14:textId="77777777" w:rsidR="00613670" w:rsidRDefault="00613670" w:rsidP="00613670">
      <w:pPr>
        <w:spacing w:before="120" w:after="120" w:line="480" w:lineRule="auto"/>
        <w:ind w:firstLine="720"/>
      </w:pPr>
      <w:r>
        <w:t>In Cancer Biology, key concepts highlighted how disruptions in the cellular environment can lead to significant functional consequences, particularly when normal physiological processes such as oxygen delivery or pressure regulation are altered. One important principle discussed was that tissues within confined anatomical spaces are especially vulnerable to changes in pressure because they cannot expand without affecting surrounding structures. Unlike tissues in more compliant environments, those enclosed within rigid boundaries have little room to accommodate changes in volume, meaning that even a modest increase in pressure can have outsized effects on surrounding structures. Such disruptions can impair blood flow, induce cellular stress, and ultimately result in irreversible tissue damage. These concepts were not presented in isolation but were discussed in the context of how tumors exploit and disrupt normal physiological environments, including how mass lesions can elevate local pressure, compress vasculature, and create regions of hypoxia that accelerate cellular injury.</w:t>
      </w:r>
    </w:p>
    <w:p w14:paraId="74146CAA" w14:textId="77777777" w:rsidR="00613670" w:rsidRDefault="00613670" w:rsidP="00613670">
      <w:pPr>
        <w:spacing w:before="120" w:after="120" w:line="480" w:lineRule="auto"/>
        <w:ind w:firstLine="720"/>
      </w:pPr>
      <w:r>
        <w:t>During a clinical shadowing experience, an encounter with a patient diagnosed with idiopathic intracranial hypertension (IIH) provided a clear example of how these concepts apply in practice. The patient was a woman who presented with persistent headaches that had been worsening over time. On examination, the provider identified swelling of the optic disc, a finding known as papilledema, which served as a critical clinical indicator of elevated intracranial pressure. Based on these findings, the provider suspected increased intracranial pressure and recommended a lumbar puncture to assess the opening pressure of the cerebrospinal fluid and thereby confirm the diagnosis. This case highlighted not only how an increase in hydrostatic pressure in the central nervous system can lead to symptoms but why this increase can manifest specifically as visual symptoms.</w:t>
      </w:r>
    </w:p>
    <w:p w14:paraId="4E999F7B" w14:textId="77777777" w:rsidR="00613670" w:rsidRDefault="00613670" w:rsidP="00613670">
      <w:pPr>
        <w:spacing w:before="120" w:after="120" w:line="480" w:lineRule="auto"/>
        <w:ind w:firstLine="720"/>
      </w:pPr>
      <w:r>
        <w:lastRenderedPageBreak/>
        <w:t>IIH is a condition in which intracranial pressure becomes elevated without the presence of a detectable mass lesion. This increase in pressure is transmitted along the optic nerve, leading to papilledema, or swelling of the optic disc, which can progress to permanent vision loss if not recognized and managed early. [1] Proposed mechanisms include impaired cerebrospinal fluid absorption and increased venous sinus pressure, both of which contribute to sustained elevation in intracranial pressure. [2]</w:t>
      </w:r>
    </w:p>
    <w:p w14:paraId="768816E9" w14:textId="77777777" w:rsidR="00613670" w:rsidRDefault="00613670" w:rsidP="00613670">
      <w:pPr>
        <w:spacing w:before="120" w:after="120" w:line="480" w:lineRule="auto"/>
        <w:ind w:firstLine="720"/>
      </w:pPr>
      <w:r>
        <w:t>The clinical presentation of IIH closely reflects the structural and physiological concepts discussed in Cancer Biology. Increased intracranial pressure can mechanically compress the surrounding vasculature, reducing perfusion to the optic nerve and creating a hypoxic environment that promotes cellular stress and ultimately leads to irreversible neuronal damage. The optic nerve, which travels through the optic canal, is particularly susceptible to these pressure-related changes because it is enclosed within a rigid bony structure with limited capacity to accommodate increased volume. This anatomical reality means that sustained elevation in intracranial pressure can have a direct and damaging effect on the optic nerve, even in the absence of a mass lesion. Although IIH is not a malignant condition, the underlying principle is similar to that seen in tumor-related mass effects, where pressure within confined spaces compromises surrounding tissues and disrupts normal function. Recognizing this connection helped bridge the gap between the theoretical framework of Cancer Biology and the pathophysiology encountered in a real clinical setting.</w:t>
      </w:r>
    </w:p>
    <w:p w14:paraId="5DE3D1B1" w14:textId="77777777" w:rsidR="00613670" w:rsidRDefault="00613670" w:rsidP="00613670">
      <w:pPr>
        <w:spacing w:before="120" w:after="120" w:line="480" w:lineRule="auto"/>
        <w:ind w:firstLine="720"/>
      </w:pPr>
      <w:r>
        <w:t xml:space="preserve">This experience reinforced how concepts of pressure regulation and tissue vulnerability learned in the classroom translate directly into clinical outcomes. Observing a real patient encounter grounded abstract concepts in a way that classroom instruction alone cannot replicate. Seeing a provider identify papilledema on examination and immediately connect it to elevated intracranial pressure demonstrated how clinical reasoning draws on foundational science in real time. It also showed the importance of early recognition and intervention, as </w:t>
      </w:r>
      <w:r>
        <w:lastRenderedPageBreak/>
        <w:t>timely diagnosis and management of increased intracranial pressure are critical in preventing irreversible vision loss. Without prompt identification, the sustained pressure exerted on the optic nerve can lead to permanent damage, a consequence that aligns directly with the cellular injury mechanisms discussed in the classroom. This encounter made clear that the concepts covered in Cancer Biology are not confined to oncology but represent fundamental principles of how the body responds to disruption, principles that appear across a wide range of clinical conditions.</w:t>
      </w:r>
    </w:p>
    <w:p w14:paraId="07F06678" w14:textId="77777777" w:rsidR="00613670" w:rsidRDefault="00613670" w:rsidP="00613670">
      <w:pPr>
        <w:spacing w:before="120" w:after="120" w:line="480" w:lineRule="auto"/>
        <w:ind w:firstLine="720"/>
      </w:pPr>
      <w:r>
        <w:t>Figure 1 below illustrates the segmental anatomy of the optic nerve, showing its pathway from the optic disc through the optic canal and into the CNS. This image helps visualize how elevated intracranial pressure can travel along the optic nerve sheath and ultimately cause disc swelling (papilledema) observed in patients with IIH. [3]</w:t>
      </w:r>
    </w:p>
    <w:p w14:paraId="2C97C40A" w14:textId="77777777" w:rsidR="00613670" w:rsidRDefault="00613670" w:rsidP="00613670">
      <w:pPr>
        <w:spacing w:before="120" w:after="120" w:line="480" w:lineRule="auto"/>
        <w:ind w:firstLine="720"/>
      </w:pPr>
      <w:r>
        <w:t>Figure 1. Segmental anatomy of the optic nerve.</w:t>
      </w:r>
    </w:p>
    <w:p w14:paraId="5548812F" w14:textId="77777777" w:rsidR="00613670" w:rsidRDefault="00613670" w:rsidP="00613670">
      <w:pPr>
        <w:spacing w:before="120" w:after="120" w:line="480" w:lineRule="auto"/>
        <w:ind w:firstLine="720"/>
      </w:pPr>
      <w:r>
        <w:rPr>
          <w:noProof/>
        </w:rPr>
        <w:drawing>
          <wp:inline distT="114300" distB="114300" distL="114300" distR="114300" wp14:anchorId="70650884" wp14:editId="25AEDC49">
            <wp:extent cx="5760835" cy="1478280"/>
            <wp:effectExtent l="0" t="0" r="0" b="7620"/>
            <wp:docPr id="1" name="image1.png" descr="A close-up of a mri scan&#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close-up of a mri scan&#10;&#10;AI-generated content may be incorrect."/>
                    <pic:cNvPicPr preferRelativeResize="0"/>
                  </pic:nvPicPr>
                  <pic:blipFill rotWithShape="1">
                    <a:blip r:embed="rId5"/>
                    <a:srcRect t="14975"/>
                    <a:stretch>
                      <a:fillRect/>
                    </a:stretch>
                  </pic:blipFill>
                  <pic:spPr bwMode="auto">
                    <a:xfrm>
                      <a:off x="0" y="0"/>
                      <a:ext cx="5762140" cy="1478615"/>
                    </a:xfrm>
                    <a:prstGeom prst="rect">
                      <a:avLst/>
                    </a:prstGeom>
                    <a:ln>
                      <a:noFill/>
                    </a:ln>
                    <a:extLst>
                      <a:ext uri="{53640926-AAD7-44D8-BBD7-CCE9431645EC}">
                        <a14:shadowObscured xmlns:a14="http://schemas.microsoft.com/office/drawing/2010/main"/>
                      </a:ext>
                    </a:extLst>
                  </pic:spPr>
                </pic:pic>
              </a:graphicData>
            </a:graphic>
          </wp:inline>
        </w:drawing>
      </w:r>
    </w:p>
    <w:p w14:paraId="5990C1D6" w14:textId="77777777" w:rsidR="00613670" w:rsidRDefault="00613670" w:rsidP="00613670">
      <w:pPr>
        <w:spacing w:before="120" w:after="120" w:line="480" w:lineRule="auto"/>
        <w:ind w:firstLine="720"/>
        <w:jc w:val="both"/>
      </w:pPr>
      <w:r>
        <w:t xml:space="preserve">Axial T2 fat-saturated MRI image showing the intraocular segment (optic disc head), intraorbital segment, intracanalicular segment, and intracranial segment with the optic chiasm. Adapted from Garg et al., 2015.                                                                                      </w:t>
      </w:r>
    </w:p>
    <w:p w14:paraId="21691FD0" w14:textId="77777777" w:rsidR="00613670" w:rsidRPr="00581C05" w:rsidRDefault="00613670" w:rsidP="00613670">
      <w:pPr>
        <w:spacing w:line="480" w:lineRule="auto"/>
        <w:rPr>
          <w:b/>
          <w:bCs/>
        </w:rPr>
      </w:pPr>
      <w:r>
        <w:rPr>
          <w:b/>
          <w:bCs/>
        </w:rPr>
        <w:t xml:space="preserve">FRAMING A CLINICAL QUESTION AND INTERROGATING THE LITERATURE </w:t>
      </w:r>
    </w:p>
    <w:p w14:paraId="58F625B5" w14:textId="77777777" w:rsidR="00613670" w:rsidRDefault="00613670" w:rsidP="00613670">
      <w:pPr>
        <w:spacing w:line="480" w:lineRule="auto"/>
        <w:ind w:firstLine="720"/>
      </w:pPr>
      <w:r>
        <w:t xml:space="preserve">Clinical decision-making typically goes beyond merely identifying a diagnosis but additionally involves selecting among multiple appropriate treatment options that differ in effectiveness, tolerability and long-term outcomes. This is particularly evident in the </w:t>
      </w:r>
      <w:r>
        <w:lastRenderedPageBreak/>
        <w:t xml:space="preserve">management of glaucoma, a progressive optic neuropathy and a leading cause of irreversible blindness worldwide, characterized by damage to the optic nerve that is often associated with elevated intraocular pressure (IOP). Because glaucoma typically progresses without noticeable symptoms in its early stages, effective management relies heavily on early detection and consistent treatment to prevent vision loss. Lowering intraocular pressure remains the primary therapeutic goal, and this can be achieved through various pharmacological interventions. Evaluating the comparative effectiveness of these interventions is essential to informing evidence-based clinical decision-making. </w:t>
      </w:r>
    </w:p>
    <w:p w14:paraId="761184F7" w14:textId="77777777" w:rsidR="00613670" w:rsidRDefault="00613670" w:rsidP="00613670">
      <w:pPr>
        <w:spacing w:before="120" w:after="120" w:line="480" w:lineRule="auto"/>
        <w:ind w:firstLine="720"/>
      </w:pPr>
      <w:r>
        <w:t xml:space="preserve">During one patient encounter, a provider discussed treatment options with a patient diagnosed with glaucoma and emphasized the importance of adherence to prescribed therapy with ophthalmic drops. Multiple medication classes were referenced, including prostaglandin analogs and beta-blockers, both of which are commonly used to reduce intraocular pressure. This interaction raised a clinically relevant question: “Given the chronic nature of glaucoma, what are the comparative effectiveness, side effects, and patient adherence among the available pharmacologic classes of agents?” </w:t>
      </w:r>
    </w:p>
    <w:p w14:paraId="1926ED5F" w14:textId="77777777" w:rsidR="00613670" w:rsidRDefault="00613670" w:rsidP="00613670">
      <w:pPr>
        <w:spacing w:before="120" w:after="120" w:line="480" w:lineRule="auto"/>
        <w:ind w:firstLine="720"/>
      </w:pPr>
      <w:r>
        <w:t>To explore this question, the PICO framework was utilized. PICO is a structured clinical tool used to formulate evidence-based questions by identifying the Patient or Population (P), the Intervention being considered (I), the Comparison or Control (C), and the measured Outcome (O). This format helps clinicians search the literature more efficiently and evaluate evidence in a focused and systematic way.</w:t>
      </w:r>
    </w:p>
    <w:p w14:paraId="056D0FBC" w14:textId="77777777" w:rsidR="00613670" w:rsidRDefault="00613670" w:rsidP="00613670">
      <w:pPr>
        <w:spacing w:before="120" w:after="120" w:line="480" w:lineRule="auto"/>
        <w:ind w:firstLine="720"/>
      </w:pPr>
      <w:r>
        <w:t xml:space="preserve"> Using this format, I formulated the following clinical question: “In adults with primary open-angle glaucoma [P], do prostaglandin analog eye drops [I] compared with beta-blocker eye drops [C] provide greater reduction in intraocular pressure, improved disease control, and better patient adherence [O]?”</w:t>
      </w:r>
    </w:p>
    <w:p w14:paraId="440157F1" w14:textId="77777777" w:rsidR="00613670" w:rsidRDefault="00613670" w:rsidP="00613670">
      <w:pPr>
        <w:spacing w:before="120" w:after="120" w:line="480" w:lineRule="auto"/>
        <w:ind w:firstLine="720"/>
      </w:pPr>
      <w:r>
        <w:lastRenderedPageBreak/>
        <w:t xml:space="preserve">The literature consistently demonstrates that prostaglandin analogs are more effective than beta-blockers in reducing intraocular pressure. Meta-analyses have shown that prostaglandin analogs achieve greater mean reductions in intraocular pressure than beta-blockers, which is clinically significant given that even modest decreases in IOP are associated with a reduced risk of glaucoma progression and vision loss. [4] Additionally, prostaglandin analogs are typically administered once daily, whereas beta-blockers are often dosed multiple times daily. This difference in dosing frequency has important implications for adherence, as simpler treatment regimens are associated with improved compliance, particularly in chronic conditions requiring lifelong management. [5] </w:t>
      </w:r>
    </w:p>
    <w:p w14:paraId="02979EAF" w14:textId="77777777" w:rsidR="00613670" w:rsidRDefault="00613670" w:rsidP="00613670">
      <w:pPr>
        <w:spacing w:before="120" w:after="120" w:line="480" w:lineRule="auto"/>
        <w:ind w:firstLine="720"/>
      </w:pPr>
      <w:r>
        <w:t>The side effect profiles of these medications further differentiate their use in clinical practice. Beta-blockers have been associated with systemic adverse effects, including hypotension and bronchospasm, which may limit their use in patients with cardiovascular or pulmonary comorbidities. [6] In contrast, prostaglandin analogs are generally well tolerated, with side effects that are primarily localized to the eye, such as conjunctival hyperemia and increased eyelash growth. These differences contribute to the preference for prostaglandin analogs as first-line therapy in many clinical guidelines.</w:t>
      </w:r>
    </w:p>
    <w:p w14:paraId="0DAF42CB" w14:textId="77777777" w:rsidR="00613670" w:rsidRDefault="00613670" w:rsidP="00613670">
      <w:pPr>
        <w:spacing w:before="120" w:after="120" w:line="480" w:lineRule="auto"/>
        <w:ind w:firstLine="720"/>
      </w:pPr>
      <w:r>
        <w:t xml:space="preserve">Despite these findings, several limitations must be considered when applying this evidence to clinical practice. A large proportion of the studies included in meta-analyses comparing prostaglandin analogs and beta-blockers are randomized controlled trials conducted in controlled environments, which may not fully reflect real-world patient behavior. Furthermore, many of these trials have been noted to carry a high or unclear risk of bias, and the majority are industry-funded, which may influence reported outcomes. [7] Factors such as medication cost, access to healthcare, and individual patient routines can also significantly influence adherence and overall treatment effectiveness. Additionally, patient preferences and tolerance for side </w:t>
      </w:r>
      <w:r>
        <w:lastRenderedPageBreak/>
        <w:t>effects may vary, further emphasizing the need for individualized, patient-centered treatment planning.</w:t>
      </w:r>
    </w:p>
    <w:p w14:paraId="17A22777" w14:textId="77777777" w:rsidR="00613670" w:rsidRDefault="00613670" w:rsidP="00613670">
      <w:pPr>
        <w:spacing w:before="120" w:after="120" w:line="480" w:lineRule="auto"/>
        <w:ind w:firstLine="720"/>
      </w:pPr>
      <w:r>
        <w:t>Overall, the literature supports the use of prostaglandin analogs as first-line treatment for primary open-angle glaucoma due to their superior intraocular pressure-lowering effects, convenient dosing, and favorable side-effect profile. However, optimal management requires consideration of patient-specific factors, including comorbid conditions, lifestyle, and ability to adhere to therapy. This approach highlights the importance of integrating evidence-based medicine with patient-centered care in clinical decision-making.</w:t>
      </w:r>
    </w:p>
    <w:p w14:paraId="42D0AFCF" w14:textId="77777777" w:rsidR="00613670" w:rsidRDefault="00613670" w:rsidP="00613670">
      <w:pPr>
        <w:spacing w:before="120" w:after="120" w:line="480" w:lineRule="auto"/>
        <w:rPr>
          <w:b/>
          <w:bCs/>
        </w:rPr>
      </w:pPr>
      <w:r>
        <w:rPr>
          <w:b/>
          <w:bCs/>
        </w:rPr>
        <w:t xml:space="preserve">REFLECTION OF EFFECTIVE COMMUNICATION IN HEALTHCARE </w:t>
      </w:r>
    </w:p>
    <w:p w14:paraId="5AF57F26" w14:textId="77777777" w:rsidR="00613670" w:rsidRDefault="00613670" w:rsidP="00613670">
      <w:pPr>
        <w:spacing w:before="120" w:after="120" w:line="480" w:lineRule="auto"/>
        <w:rPr>
          <w:i/>
          <w:iCs/>
        </w:rPr>
      </w:pPr>
      <w:r>
        <w:rPr>
          <w:i/>
          <w:iCs/>
        </w:rPr>
        <w:t>Effective Clinician-to-Patient Communication</w:t>
      </w:r>
    </w:p>
    <w:p w14:paraId="171BC4AD" w14:textId="77777777" w:rsidR="00613670" w:rsidRDefault="00613670" w:rsidP="00613670">
      <w:pPr>
        <w:spacing w:before="120" w:after="120" w:line="480" w:lineRule="auto"/>
        <w:ind w:firstLine="720"/>
      </w:pPr>
      <w:r>
        <w:t>During my shadowing experience, I observed how communication plays a crucial role in patient care. Medicine is often viewed primarily as a science focused on diagnosis and treatment, but it also requires strong interpersonal and communication skills. Physicians must not only understand the biological mechanisms of disease but also be able to explain complex medical information to patients while addressing their emotional responses. Effective communication can build trust, improve patient satisfaction, and strengthen the provider-patient relationship. Research has shown that physician empathy plays an important role in improving patient trust and overall perceptions of care. [8]</w:t>
      </w:r>
    </w:p>
    <w:p w14:paraId="1F54DB98" w14:textId="77777777" w:rsidR="00613670" w:rsidRDefault="00613670" w:rsidP="00613670">
      <w:pPr>
        <w:spacing w:before="120" w:after="120" w:line="480" w:lineRule="auto"/>
        <w:ind w:firstLine="720"/>
      </w:pPr>
      <w:r>
        <w:t xml:space="preserve">One patient encounter that demonstrated effective communication involved “Mrs. Bean,” who had experienced sudden vision loss in one eye. After evaluation, the physician explained that the patient had developed ischemic optic neuropathy, a condition caused by reduced blood flow to the optic nerve, which can lead to permanent vision loss. As the physician carefully explained the diagnosis, the patient became visibly emotional and began to cry after realizing that the vision loss in her left eye would likely not recover. Rather than rushing through the </w:t>
      </w:r>
      <w:r>
        <w:lastRenderedPageBreak/>
        <w:t xml:space="preserve">appointment or focusing solely on clinical details, the physician paused and allowed the patient time to process the information. Before concluding the appointment, the physician asked “Mrs. Bean” if she had any questions or concerns about the diagnosis. This allowed “Mrs. Bean” to clarify what the condition meant for her daily life and what adjustments she might need to make moving forward. The physician also reassured the patient that adjusting to vision loss can be a gradual process and explained that many individuals can adapt to changes in their vision over time. By discussing how patients often learn to manage these adjustments, the physician helped shift the conversation toward coping with the condition rather than focusing solely on the initial shock of the diagnosis. </w:t>
      </w:r>
    </w:p>
    <w:p w14:paraId="15791948" w14:textId="77777777" w:rsidR="00613670" w:rsidRDefault="00613670" w:rsidP="00613670">
      <w:pPr>
        <w:spacing w:before="120" w:after="120" w:line="480" w:lineRule="auto"/>
        <w:ind w:firstLine="720"/>
      </w:pPr>
      <w:r>
        <w:t xml:space="preserve">From my observation, the interaction not only involved delivering difficult information but also ensured that the patient felt heard and supported during an emotionally challenging moment. This type of communication reflects a patient-centered approach, where physicians prioritize understanding patients’ concerns while clearly explaining diagnoses and expectations. Patient-centered communication has been shown to strengthen the physician-patient relationship and improve patients’ understanding of their medical conditions. [9] By acknowledging the patient’s emotional response and encouraging questions, the physician created a supportive environment that allowed the patient to begin processing a life-altering diagnosis. </w:t>
      </w:r>
    </w:p>
    <w:p w14:paraId="61CBA86F" w14:textId="77777777" w:rsidR="00613670" w:rsidRDefault="00613670" w:rsidP="00613670">
      <w:pPr>
        <w:spacing w:before="120" w:after="120" w:line="480" w:lineRule="auto"/>
        <w:rPr>
          <w:i/>
          <w:iCs/>
        </w:rPr>
      </w:pPr>
      <w:r>
        <w:rPr>
          <w:i/>
          <w:iCs/>
        </w:rPr>
        <w:t>Ineffective Clinician-to-Patient Communication</w:t>
      </w:r>
    </w:p>
    <w:p w14:paraId="5D099CE3" w14:textId="77777777" w:rsidR="00613670" w:rsidRDefault="00613670" w:rsidP="00613670">
      <w:pPr>
        <w:spacing w:before="120" w:after="120" w:line="480" w:lineRule="auto"/>
        <w:ind w:firstLine="720"/>
      </w:pPr>
      <w:r>
        <w:t>In contrast, ineffective communication can negatively influence the clinical environment and the values that guide patient care. One example that demonstrates this is found in the reflection “</w:t>
      </w:r>
      <w:r>
        <w:rPr>
          <w:i/>
          <w:iCs/>
        </w:rPr>
        <w:t>On Being A Doctor-</w:t>
      </w:r>
      <w:r>
        <w:t xml:space="preserve"> </w:t>
      </w:r>
      <w:r>
        <w:rPr>
          <w:i/>
          <w:iCs/>
        </w:rPr>
        <w:t xml:space="preserve">Our Family Secrets”. </w:t>
      </w:r>
      <w:r>
        <w:t xml:space="preserve">[10] </w:t>
      </w:r>
    </w:p>
    <w:p w14:paraId="54D4A640" w14:textId="77777777" w:rsidR="00613670" w:rsidRDefault="00613670" w:rsidP="00613670">
      <w:pPr>
        <w:spacing w:before="120" w:after="120" w:line="480" w:lineRule="auto"/>
        <w:ind w:firstLine="720"/>
      </w:pPr>
      <w:r>
        <w:t xml:space="preserve">In this account, a medical student described observing an attending physician make a sexualized comment about a patient who was under general anesthesia during a surgical procedure. Although this interaction occurred primarily between healthcare providers rather than </w:t>
      </w:r>
      <w:r>
        <w:lastRenderedPageBreak/>
        <w:t xml:space="preserve">directly with the patient, it still reflects a breakdown in professional communication that can influence the overall culture of patient care. While the patient was unconscious and unaware of the comment, the remark created an uncomfortable and unprofessional environment in the operating room. The student admitted that he laughed along with the attending physician even though he felt uneasy about the comment. The student explained that the hierarchical structure of medical training can make it difficult for trainees to question or confront the actions of senior physicians. As a result, situations like this can create an environment in which inappropriate communication goes unchallenged. </w:t>
      </w:r>
    </w:p>
    <w:p w14:paraId="7CFAD3C4" w14:textId="77777777" w:rsidR="00613670" w:rsidRDefault="00613670" w:rsidP="00613670">
      <w:pPr>
        <w:spacing w:before="120" w:after="120" w:line="480" w:lineRule="auto"/>
        <w:ind w:firstLine="720"/>
      </w:pPr>
      <w:r>
        <w:t xml:space="preserve">The entire interaction demonstrated how communication can fail to support a positive clinical environment and the ethical standards that define patient care. Although the patient was unconscious and unable to hear the comment, she was in an extremely vulnerable position, relying entirely on the professionalism and ethical conduct of the healthcare team responsible for her care. When healthcare providers make disrespectful comments about patients, even in private settings, it undermines the principles of respect and dignity that are fundamental to patient-centered care. Furthermore, such behavior can influence trainees' attitudes and behaviors as they learn professional norms in clinical environments. </w:t>
      </w:r>
    </w:p>
    <w:p w14:paraId="3D9B0355" w14:textId="77777777" w:rsidR="00613670" w:rsidRDefault="00613670" w:rsidP="00613670">
      <w:pPr>
        <w:spacing w:before="120" w:after="120" w:line="480" w:lineRule="auto"/>
        <w:ind w:firstLine="720"/>
      </w:pPr>
      <w:r>
        <w:t xml:space="preserve">The attending physician’s comment also placed that student in a difficult position because of the power dynamics that exist within medical training, the student felt pressure to conform to the attending physician’s behavior rather than challenge it. This situation demonstrated how ineffective communication not only affects the patient but can also impact the professional development of trainees. When inappropriate communication is normalized or tolerated, this can weaken the ethical standards expected in medical practice. </w:t>
      </w:r>
    </w:p>
    <w:p w14:paraId="7EDBBAC0" w14:textId="77777777" w:rsidR="00613670" w:rsidRDefault="00613670" w:rsidP="00613670">
      <w:pPr>
        <w:spacing w:before="120" w:after="120" w:line="480" w:lineRule="auto"/>
        <w:ind w:firstLine="720"/>
      </w:pPr>
      <w:r>
        <w:t xml:space="preserve">Providers should model professionalism at all times, particularly when patients are vulnerable or unable to advocate for themselves. Healthcare professionals have a responsibility to ensure that their language and behavior reflect respect for the individuals entrusted to their </w:t>
      </w:r>
      <w:r>
        <w:lastRenderedPageBreak/>
        <w:t xml:space="preserve">care. Maintaining professionalism in all clinical interactions reinforces patient dignity and ensures that the focus of care remains on the patient's well-being. By communicating respectfully and upholding ethical standards, physicians can help foster an environment that prioritizes compassion, trust, and patient-centered care. </w:t>
      </w:r>
    </w:p>
    <w:p w14:paraId="4E986703" w14:textId="77777777" w:rsidR="00613670" w:rsidRPr="00051F60" w:rsidRDefault="00613670" w:rsidP="00613670">
      <w:pPr>
        <w:spacing w:before="120" w:after="120" w:line="480" w:lineRule="auto"/>
        <w:rPr>
          <w:i/>
          <w:iCs/>
        </w:rPr>
      </w:pPr>
      <w:r>
        <w:rPr>
          <w:i/>
          <w:iCs/>
        </w:rPr>
        <w:t>Clinician-to-Clinician Communication</w:t>
      </w:r>
    </w:p>
    <w:p w14:paraId="47B4C351" w14:textId="77777777" w:rsidR="00613670" w:rsidRDefault="00613670" w:rsidP="00613670">
      <w:pPr>
        <w:spacing w:before="120" w:after="120" w:line="480" w:lineRule="auto"/>
        <w:ind w:firstLine="720"/>
      </w:pPr>
      <w:r>
        <w:t>Effective communication in healthcare extends beyond the provider-patient relationship. It plays an equally critical role in coordination among healthcare professionals, and even routine patient encounters often require communication between providers to ensure safe and appropriate care.</w:t>
      </w:r>
    </w:p>
    <w:p w14:paraId="7CB5E379" w14:textId="77777777" w:rsidR="00613670" w:rsidRDefault="00613670" w:rsidP="00613670">
      <w:pPr>
        <w:spacing w:before="120" w:after="120" w:line="480" w:lineRule="auto"/>
        <w:ind w:firstLine="720"/>
      </w:pPr>
      <w:r>
        <w:t>One example of this that I observed while shadowing involved a patient who presented with a persistent stye and who requested a “stronger antibiotic eye drop.” The patient had previously been managed by a different optometrist, and the current provider was providing follow-up care. Before making any adjustments to the treatment plan, the provider reviewed the patient’s records and recognized that additional information was needed regarding the prior course of treatment and the patient’s response to previous medications.</w:t>
      </w:r>
    </w:p>
    <w:p w14:paraId="68E48C1F" w14:textId="77777777" w:rsidR="00613670" w:rsidRDefault="00613670" w:rsidP="00613670">
      <w:pPr>
        <w:spacing w:before="120" w:after="120" w:line="480" w:lineRule="auto"/>
        <w:ind w:firstLine="720"/>
      </w:pPr>
      <w:r>
        <w:t>Rather than immediately prescribing a broader spectrum antibiotic, the provider contacted the optometrist who had previously managed the patient. This communication was necessary to clarify what treatments had already been attempted, whether the patient had experienced any adverse effects, and whether escalation of therapy would be appropriate. This step helped ensure continuity of care and prevented unnecessary duplication or inappropriate modification of treatment.</w:t>
      </w:r>
    </w:p>
    <w:p w14:paraId="22E06225" w14:textId="77777777" w:rsidR="00613670" w:rsidRDefault="00613670" w:rsidP="00613670">
      <w:pPr>
        <w:spacing w:before="120" w:after="120" w:line="480" w:lineRule="auto"/>
        <w:ind w:firstLine="720"/>
      </w:pPr>
      <w:r>
        <w:t xml:space="preserve">This interaction highlighted how clinician-to-clinician communication supports safe and effective decision-making. Even in relatively straightforward cases, such as the management of a stye, treatment decisions may depend on information that is not immediately available during </w:t>
      </w:r>
      <w:r>
        <w:lastRenderedPageBreak/>
        <w:t>a single visit. Without communication between providers, there is a risk of incomplete information, which can lead to suboptimal treatment choices or patient harm.</w:t>
      </w:r>
    </w:p>
    <w:p w14:paraId="1521F9F7" w14:textId="77777777" w:rsidR="00613670" w:rsidRDefault="00613670" w:rsidP="00613670">
      <w:pPr>
        <w:spacing w:before="120" w:after="120" w:line="480" w:lineRule="auto"/>
        <w:ind w:firstLine="720"/>
      </w:pPr>
      <w:r>
        <w:t>The importance of communication among healthcare providers is well documented in the literature. Studies have shown that breakdowns in communication during transitions of care are a major contributor to medical errors and adverse patient outcomes. [11] In contrast, effective interdisciplinary communication has been associated with improved patient safety, reduced errors, and better continuity of care. This experience demonstrated that clinician-to-clinician communication is not limited to complex cases but is a routine and essential part of clinical practice, extending to decisions as seemingly straightforward as whether to escalate a medication.</w:t>
      </w:r>
    </w:p>
    <w:p w14:paraId="537F2802" w14:textId="77777777" w:rsidR="00613670" w:rsidRDefault="00613670" w:rsidP="00613670">
      <w:pPr>
        <w:spacing w:before="120" w:after="120" w:line="480" w:lineRule="auto"/>
        <w:ind w:firstLine="720"/>
      </w:pPr>
      <w:r>
        <w:t>Overall, this encounter reinforced that effective healthcare delivery depends as much on collaboration between providers as it does on individual clinical knowledge. Developing the habit of consulting prior records, coordinating with colleagues, and recognizing the limits of a single clinical encounter will be essential in delivering care that is truly safe and well-informed.</w:t>
      </w:r>
    </w:p>
    <w:p w14:paraId="502EC62B" w14:textId="77777777" w:rsidR="00613670" w:rsidRDefault="00613670" w:rsidP="00613670">
      <w:pPr>
        <w:spacing w:before="120" w:after="120" w:line="480" w:lineRule="auto"/>
        <w:rPr>
          <w:b/>
          <w:bCs/>
        </w:rPr>
      </w:pPr>
      <w:r>
        <w:rPr>
          <w:b/>
          <w:bCs/>
        </w:rPr>
        <w:t xml:space="preserve">REFLECTION ON PSYCHOSOCIAL DETERMINANTS OF HEALTH </w:t>
      </w:r>
    </w:p>
    <w:p w14:paraId="2D75399D" w14:textId="77777777" w:rsidR="00613670" w:rsidRDefault="00613670" w:rsidP="00613670">
      <w:pPr>
        <w:spacing w:before="120" w:after="120" w:line="480" w:lineRule="auto"/>
      </w:pPr>
      <w:r>
        <w:tab/>
        <w:t xml:space="preserve">Social determinants of health are the non-medical conditions in which people are born, grow, live, work, and age that directly shape their health outcomes. These include factors such as access to transportation, housing stability, income, food security, and neighborhood environment. Recognizing these factors is essential to providing care that is truly responsive to a patient's needs, as they often determine whether a patient can benefit from medical treatment at all. </w:t>
      </w:r>
    </w:p>
    <w:p w14:paraId="052FF549" w14:textId="77777777" w:rsidR="00613670" w:rsidRDefault="00613670" w:rsidP="00613670">
      <w:pPr>
        <w:spacing w:before="120" w:after="120" w:line="480" w:lineRule="auto"/>
        <w:ind w:firstLine="720"/>
      </w:pPr>
      <w:r>
        <w:t xml:space="preserve">During my clinical shadowing experience, I observed how factors outside of direct medical care can significantly influence a patient’s ability to manage their health. While treatment plans are often designed with careful consideration of a patient’s medical conditions, </w:t>
      </w:r>
      <w:r>
        <w:lastRenderedPageBreak/>
        <w:t>they may not always account for the social challenges patients face in their daily lives. One patient encounter in particular demonstrated how limited access to transportation can negatively impact both a patient’s management plan and overall health status.</w:t>
      </w:r>
    </w:p>
    <w:p w14:paraId="1BE19C4E" w14:textId="77777777" w:rsidR="00613670" w:rsidRDefault="00613670" w:rsidP="00613670">
      <w:pPr>
        <w:spacing w:before="120" w:after="120" w:line="480" w:lineRule="auto"/>
        <w:ind w:firstLine="720"/>
      </w:pPr>
      <w:r>
        <w:t xml:space="preserve">The patient, “Mrs. Price”, was a woman in her early fifties who presented with glaucoma, along with a history of hypertension and chronic kidney disease. She had significant mobility limitations, requiring a walker and assistance to stand for extended periods. During her visit, the physician discussed the need to prescribe a stronger medication to better control her intraocular pressure. However, due to her comorbid conditions, the physician explained that coordination with her other healthcare providers would be necessary before making any adjustments to her treatment plan. </w:t>
      </w:r>
    </w:p>
    <w:p w14:paraId="39362B50" w14:textId="77777777" w:rsidR="00613670" w:rsidRDefault="00613670" w:rsidP="00613670">
      <w:pPr>
        <w:spacing w:before="120" w:after="120" w:line="480" w:lineRule="auto"/>
        <w:ind w:firstLine="720"/>
      </w:pPr>
      <w:r>
        <w:t xml:space="preserve">As the conversation continued, “Mrs. Price” shared that one of her primary challenges was limited access to reliable transportation. She explained that she did not have consistent access to a personal vehicle and usually relied on others or public transportation to attend medical appointments and pick up her medications. Because of her mobility limitations, traveling was not only physically difficult but also unpredictable. She described situations where transportation was unavailable or required significant coordination, leading her to miss or delay medical visits. This social factor directly impacted “Mrs. Price's" management plan. Glaucoma is a chronic condition that often progresses silently, which means patients may not notice worsening symptoms until significant vision damage has already occurred. Effective management of glaucoma requires consistent follow-up appointments to monitor eye pressure, assess whether medications are working, and adjust treatment as needed. However, because “Mrs. Price” was unable to reliably attend appointments, there was a risk that necessary changes to her treatment could be delayed. Additionally, the physician’s need to coordinate care with her other providers added another layer of complexity, requiring additional visits that the patient might not be able to attend consistently. </w:t>
      </w:r>
    </w:p>
    <w:p w14:paraId="6E2860C5" w14:textId="77777777" w:rsidR="00613670" w:rsidRDefault="00613670" w:rsidP="00613670">
      <w:pPr>
        <w:spacing w:before="120" w:after="120" w:line="480" w:lineRule="auto"/>
        <w:ind w:firstLine="720"/>
      </w:pPr>
      <w:r>
        <w:lastRenderedPageBreak/>
        <w:t xml:space="preserve">Limited transportation also influenced the patient’s access to medications. “Mrs. Price” explained that the nearest pharmacy was not easily accessible, so obtaining her prescriptions often depended on whether someone could assist her. When rides were unavailable or difficult to coordinate, refills could be delayed. For glaucoma, consistent use of prescribed eye drops is critical, as treatment aims to control pressure over time rather than provide immediate symptom relief. A missed refill or interrupted dosing schedule may reduce treatment effectiveness and increase the risk of progression. Any interruption in medication adherence could therefore have serious consequences for her health. </w:t>
      </w:r>
    </w:p>
    <w:p w14:paraId="1E155510" w14:textId="77777777" w:rsidR="00613670" w:rsidRDefault="00613670" w:rsidP="00613670">
      <w:pPr>
        <w:spacing w:before="120" w:after="120" w:line="480" w:lineRule="auto"/>
        <w:ind w:firstLine="720"/>
      </w:pPr>
      <w:r>
        <w:t xml:space="preserve">Beyond missed appointments and delayed medications, transportation barriers also affected “Mrs. Price” in more indirect ways. She described feeling hesitant to leave her home, not only because of her mobility limitations but also due to poor air quality in her neighborhood, which caused eye irritation and discomfort. For a patient managing glaucoma, environmental irritants can worsen symptoms and make it harder to distinguish between disease progression and external triggers, complicating self-monitoring. This hesitancy to venture out further reduced her likelihood of seeking care, even when transportation was available. The result was a compounding cycle in which each barrier reinforced the next, limited mobility made travel harder, poor air quality discouraged outings, and both together reduced the frequency of care-seeking behavior. Reflecting on that encounter, it became clear that her health outcomes were not determined solely by her medical conditions but also by the broader social environment in which she lived. The challenges this patient faces reflect wider patterns across the healthcare system. Limited access to transportation has been consistently recognized as a significant barrier to healthcare access and utilization. Research has shown that transportation barriers are associated with missed medical appointments, delayed care, and reduced adherence to treatment, particularly among patients with chronic conditions. These disruptions in care can lead to poorer health outcomes due to inadequate or delayed monitoring and intervention. </w:t>
      </w:r>
      <w:r>
        <w:lastRenderedPageBreak/>
        <w:t xml:space="preserve">Patients who are unable to routinely attend appointments may experience worsening of their conditions, even when appropriate treatments are available. [12] </w:t>
      </w:r>
    </w:p>
    <w:p w14:paraId="336D0514" w14:textId="5930FF35" w:rsidR="00613670" w:rsidRDefault="00613670" w:rsidP="00613670">
      <w:pPr>
        <w:spacing w:before="120" w:after="120" w:line="480" w:lineRule="auto"/>
        <w:ind w:firstLine="720"/>
      </w:pPr>
      <w:r>
        <w:t xml:space="preserve">Further research supports the significance of this issue.  According to data from the National Health Interview Survey approximately 5.8 million people in the United States delayed medical care because they lacked transportation in the year 2017. [13] This study also found that transportation barriers were common among people living below the poverty threshold, Medicaid recipients, Hispanic individuals, and those with functional limitations. This is relevant to “Mrs. Price” because her case involved both chronic illness and functional impairment, making her especially vulnerable to the exact pattern identified in the study. Although the patient’s treatment plan was medically appropriate, her ability to follow through with care was significantly limited by her social circumstances. This </w:t>
      </w:r>
      <w:r w:rsidR="00061DD4">
        <w:t>highlights a</w:t>
      </w:r>
      <w:r>
        <w:t xml:space="preserve"> gap between clinical decision-making and the real-world patient experience. Without addressing these barriers, even well-designed treatment plans may not achieve their intended outcomes. Understanding the challenges patients face outside of the clinical setting is essential in ensuring that care is both effective and accessible. In this case, greater consideration of the patient's transportation limitations and environmental challenges could help develop more realistic and achievable care strategies. </w:t>
      </w:r>
    </w:p>
    <w:p w14:paraId="7868A7EE" w14:textId="77777777" w:rsidR="00613670" w:rsidRDefault="00613670" w:rsidP="00613670">
      <w:pPr>
        <w:spacing w:before="120" w:after="120" w:line="480" w:lineRule="auto"/>
        <w:ind w:firstLine="720"/>
      </w:pPr>
      <w:r>
        <w:t xml:space="preserve">Overall, this encounter showed that social determinants of health are not abstract concepts. They are practical realities that shape whether patients can benefit from medical care at all. In “Mrs. Price's” case, limited transportation directly and indirectly affected her glaucoma management, medication access, and continuity of care. Observing this made it clear that effective healthcare requires not only sound clinical decisions but also an understanding of the social circumstances that determine whether treatment plans can be implemented within the context of a patient's daily life. Looking ahead, routinely screening for transportation barriers and other social needs should be as standard as reviewing a patient's medications or medical </w:t>
      </w:r>
      <w:r>
        <w:lastRenderedPageBreak/>
        <w:t xml:space="preserve">history. Addressing these factors early, whether through referrals to community resources, coordination with social workers, or flexible scheduling, can make the difference between a treatment plan that exists on paper and one that a patient can realistically follow. </w:t>
      </w:r>
    </w:p>
    <w:p w14:paraId="61FF433B" w14:textId="77777777" w:rsidR="00613670" w:rsidRDefault="00613670" w:rsidP="00613670">
      <w:pPr>
        <w:spacing w:before="120" w:after="120" w:line="480" w:lineRule="auto"/>
        <w:rPr>
          <w:b/>
          <w:bCs/>
        </w:rPr>
      </w:pPr>
      <w:r>
        <w:rPr>
          <w:b/>
          <w:bCs/>
        </w:rPr>
        <w:t xml:space="preserve">CONCLUDING SECTION: IMPACT OF THE PROGRAM ON YOUR VIEWS TOWARDS A CAREER IN HEALTHCARE </w:t>
      </w:r>
    </w:p>
    <w:p w14:paraId="18C30C52" w14:textId="77777777" w:rsidR="00613670" w:rsidRDefault="00613670" w:rsidP="00613670">
      <w:pPr>
        <w:spacing w:before="120" w:after="120" w:line="480" w:lineRule="auto"/>
        <w:ind w:firstLine="720"/>
      </w:pPr>
      <w:r>
        <w:t xml:space="preserve">The MMSc. in BMS program has significantly shaped my view of a future career in healthcare. While the classroom portion of the program strengthened my scientific foundation, it was the shadowing and volunteer experiences that gave that knowledge meaning and helped me better understand the type of healthcare provider I hope to become. Entering the program, I knew I was interested in pursuing a career in healthcare, but I had only a general understanding of what that path would truly require. Through this program, I have gained a clearer sense of the responsibility, emotional resilience, and adaptability that a career in healthcare demands, while also confirming that this is a field in which I feel deeply fulfilled. </w:t>
      </w:r>
    </w:p>
    <w:p w14:paraId="0DBC701F" w14:textId="77777777" w:rsidR="00613670" w:rsidRDefault="00613670" w:rsidP="00613670">
      <w:pPr>
        <w:spacing w:before="120" w:after="120" w:line="480" w:lineRule="auto"/>
        <w:ind w:firstLine="720"/>
      </w:pPr>
      <w:r>
        <w:t xml:space="preserve">One of the most meaningful ways this program impacted me was by helping me connect classroom concepts to real patient care. In the classroom, many of the topics we discussed were rooted in physiology, pathology, and mechanisms of disease. While these concepts were important academically, observing them in clinical practice gave them a level of relevance that was much more powerful. Seeing patients with glaucoma, optic neuropathy, and increased intracranial pressure showed me how scientific knowledge directly informs clinical decision-making. More importantly, it showed me that behind every diagnosis is a person whose life may be significantly affected by their condition. </w:t>
      </w:r>
    </w:p>
    <w:p w14:paraId="11260FEF" w14:textId="77777777" w:rsidR="00613670" w:rsidRDefault="00613670" w:rsidP="00613670">
      <w:pPr>
        <w:spacing w:before="120" w:after="120" w:line="480" w:lineRule="auto"/>
        <w:ind w:firstLine="720"/>
      </w:pPr>
      <w:r>
        <w:t xml:space="preserve">My shadowing experiences especially strengthened my interest in patient-centered care. One encounter that stayed with me involved a patient who had experienced permanent vision loss. Watching the physician deliver difficult news with patience, empathy, and honesty showed me the importance of communication in medicine. What stood out most was not only the </w:t>
      </w:r>
      <w:r>
        <w:lastRenderedPageBreak/>
        <w:t>physician’s ability to explain the diagnosis clearly but also the way she created space for the patient to process her emotions. That interaction allowed me to realize that one of the most important parts of being a provider is helping patients navigate uncertainty and fear. It reinforced my desire to pursue a career in healthcare where I can build trusting relationships with patients and support them during vulnerable moments.</w:t>
      </w:r>
    </w:p>
    <w:p w14:paraId="7C3DFFEA" w14:textId="77777777" w:rsidR="00613670" w:rsidRDefault="00613670" w:rsidP="00613670">
      <w:pPr>
        <w:spacing w:before="120" w:after="120" w:line="480" w:lineRule="auto"/>
        <w:ind w:firstLine="720"/>
      </w:pPr>
      <w:r>
        <w:t>At the same time, this program also gave me a more realistic understanding of the challenges that come with a career in healthcare. Through shadowing, I saw that medicine often requires providers to make decisions in situations with no perfect solution. Before this experience, I understood social determinants of health mostly as concepts discussed in class. Seeing how these barriers impacted a real patient’s glaucoma management made me recognize how essential it is for providers to consider the patient’s circumstances outside the exam room. This experience challenged me to think more broadly about what effective care truly means. It is not enough to recommend the best treatment on paper; providers must also help patients navigate the practical barriers that may prevent them from accessing care.</w:t>
      </w:r>
    </w:p>
    <w:p w14:paraId="718FA7C5" w14:textId="77777777" w:rsidR="00613670" w:rsidRDefault="00613670" w:rsidP="00613670">
      <w:pPr>
        <w:spacing w:before="120" w:after="120" w:line="480" w:lineRule="auto"/>
        <w:ind w:firstLine="720"/>
      </w:pPr>
      <w:r>
        <w:t>Another important way the program influenced me was by exposing me to the collaborative nature of healthcare. Prior to shadowing, I often thought of patient care primarily as a one-on-one interaction between provider and patient. However, I quickly learned that effective care depends heavily on communication among healthcare professionals. Watching providers coordinate with other clinicians to clarify treatment history and ensure safe management highlighted the importance of teamwork in healthcare. This gave me a greater appreciation for the value of humility, knowing when to ask questions, and recognizing that good patient care often depends on the collective efforts of multiple professionals.</w:t>
      </w:r>
    </w:p>
    <w:p w14:paraId="2F2422D5" w14:textId="77777777" w:rsidR="00613670" w:rsidRDefault="00613670" w:rsidP="00613670">
      <w:pPr>
        <w:spacing w:before="120" w:after="120" w:line="480" w:lineRule="auto"/>
        <w:ind w:firstLine="720"/>
      </w:pPr>
      <w:r>
        <w:t xml:space="preserve">Conversations with providers also helped me better understand the realities of training and long-term career satisfaction in healthcare. Hearing about the challenges they faced during school and practice gave me a more honest perspective on the commitment required. At the </w:t>
      </w:r>
      <w:r>
        <w:lastRenderedPageBreak/>
        <w:t>same time, many of these conversations were encouraging because providers spoke about the fulfillment they find in helping patients preserve their health and quality of life. These discussions helped me reflect on my own goals and confirmed that I am drawn to a career that combines science, lifelong learning, and meaningful patient interaction.</w:t>
      </w:r>
    </w:p>
    <w:p w14:paraId="18591F5F" w14:textId="77777777" w:rsidR="00613670" w:rsidRDefault="00613670" w:rsidP="00613670">
      <w:pPr>
        <w:spacing w:before="120" w:after="120" w:line="480" w:lineRule="auto"/>
        <w:ind w:firstLine="720"/>
      </w:pPr>
      <w:r>
        <w:t xml:space="preserve">Overall, the MMSc. in BMS program has helped me refine both my academic and professional goals. It has confirmed my desire to pursue a healthcare career while also deepening my appreciation for the responsibility that comes with caring for others. More than anything, this program has shown me that being a strong healthcare provider requires more than clinical knowledge. It requires empathy, communication, adaptability, and an understanding of the many factors that influence patient outcomes. </w:t>
      </w:r>
    </w:p>
    <w:p w14:paraId="2E1538C2" w14:textId="77777777" w:rsidR="00613670" w:rsidRDefault="00613670" w:rsidP="00613670">
      <w:pPr>
        <w:spacing w:line="480" w:lineRule="auto"/>
      </w:pPr>
    </w:p>
    <w:p w14:paraId="7F2F3B9F" w14:textId="77777777" w:rsidR="00613670" w:rsidRDefault="00613670" w:rsidP="00613670">
      <w:pPr>
        <w:spacing w:line="480" w:lineRule="auto"/>
      </w:pPr>
    </w:p>
    <w:p w14:paraId="520F3819" w14:textId="77777777" w:rsidR="00613670" w:rsidRDefault="00613670" w:rsidP="00613670">
      <w:pPr>
        <w:spacing w:line="480" w:lineRule="auto"/>
      </w:pPr>
    </w:p>
    <w:p w14:paraId="2CE80228" w14:textId="77777777" w:rsidR="00613670" w:rsidRDefault="00613670" w:rsidP="00613670">
      <w:pPr>
        <w:spacing w:line="480" w:lineRule="auto"/>
      </w:pPr>
    </w:p>
    <w:p w14:paraId="5BA781A9" w14:textId="77777777" w:rsidR="00613670" w:rsidRDefault="00613670" w:rsidP="00613670">
      <w:pPr>
        <w:spacing w:line="480" w:lineRule="auto"/>
      </w:pPr>
    </w:p>
    <w:p w14:paraId="44261506" w14:textId="77777777" w:rsidR="00613670" w:rsidRDefault="00613670" w:rsidP="00613670">
      <w:pPr>
        <w:spacing w:line="480" w:lineRule="auto"/>
      </w:pPr>
    </w:p>
    <w:p w14:paraId="04015EDA" w14:textId="77777777" w:rsidR="00613670" w:rsidRDefault="00613670" w:rsidP="00613670">
      <w:pPr>
        <w:spacing w:line="480" w:lineRule="auto"/>
      </w:pPr>
    </w:p>
    <w:p w14:paraId="43A0723D" w14:textId="77777777" w:rsidR="00613670" w:rsidRDefault="00613670" w:rsidP="00613670">
      <w:pPr>
        <w:spacing w:line="480" w:lineRule="auto"/>
      </w:pPr>
    </w:p>
    <w:p w14:paraId="7D4B6BF8" w14:textId="77777777" w:rsidR="00613670" w:rsidRDefault="00613670" w:rsidP="00613670">
      <w:pPr>
        <w:spacing w:line="480" w:lineRule="auto"/>
      </w:pPr>
    </w:p>
    <w:p w14:paraId="5179F2D1" w14:textId="77777777" w:rsidR="00613670" w:rsidRDefault="00613670" w:rsidP="00613670">
      <w:pPr>
        <w:spacing w:line="480" w:lineRule="auto"/>
      </w:pPr>
    </w:p>
    <w:p w14:paraId="4E652127" w14:textId="77777777" w:rsidR="00613670" w:rsidRDefault="00613670" w:rsidP="00613670">
      <w:pPr>
        <w:spacing w:line="480" w:lineRule="auto"/>
      </w:pPr>
    </w:p>
    <w:p w14:paraId="18B5BE38" w14:textId="77777777" w:rsidR="00613670" w:rsidRDefault="00613670" w:rsidP="00613670">
      <w:pPr>
        <w:spacing w:line="480" w:lineRule="auto"/>
      </w:pPr>
    </w:p>
    <w:p w14:paraId="0F4F3726" w14:textId="77777777" w:rsidR="00613670" w:rsidRDefault="00613670" w:rsidP="00613670">
      <w:pPr>
        <w:spacing w:line="480" w:lineRule="auto"/>
      </w:pPr>
    </w:p>
    <w:p w14:paraId="6D03673F" w14:textId="77777777" w:rsidR="00613670" w:rsidRDefault="00613670" w:rsidP="00613670">
      <w:pPr>
        <w:spacing w:line="480" w:lineRule="auto"/>
      </w:pPr>
    </w:p>
    <w:p w14:paraId="369CCFCD" w14:textId="77777777" w:rsidR="00613670" w:rsidRDefault="00613670" w:rsidP="00613670">
      <w:pPr>
        <w:spacing w:line="480" w:lineRule="auto"/>
      </w:pPr>
    </w:p>
    <w:p w14:paraId="38DCC550" w14:textId="77777777" w:rsidR="00613670" w:rsidRDefault="00613670" w:rsidP="00613670">
      <w:pPr>
        <w:spacing w:line="480" w:lineRule="auto"/>
        <w:rPr>
          <w:b/>
          <w:bCs/>
        </w:rPr>
      </w:pPr>
      <w:r>
        <w:rPr>
          <w:b/>
          <w:bCs/>
        </w:rPr>
        <w:lastRenderedPageBreak/>
        <w:t>BIBLIOGRAPHY</w:t>
      </w:r>
    </w:p>
    <w:p w14:paraId="088A5FBD" w14:textId="77777777" w:rsidR="00613670" w:rsidRDefault="00613670" w:rsidP="00613670">
      <w:pPr>
        <w:numPr>
          <w:ilvl w:val="0"/>
          <w:numId w:val="1"/>
        </w:numPr>
        <w:spacing w:before="360" w:line="480" w:lineRule="auto"/>
      </w:pPr>
      <w:r>
        <w:t xml:space="preserve">Wall M. Idiopathic intracranial hypertension. </w:t>
      </w:r>
      <w:r>
        <w:rPr>
          <w:i/>
          <w:iCs/>
        </w:rPr>
        <w:t xml:space="preserve">Neurol Clin. </w:t>
      </w:r>
      <w:r>
        <w:t>2010; 28(3):  593</w:t>
      </w:r>
      <w:r>
        <w:rPr>
          <w:i/>
          <w:iCs/>
        </w:rPr>
        <w:t>-</w:t>
      </w:r>
      <w:r>
        <w:t xml:space="preserve">617. </w:t>
      </w:r>
      <w:hyperlink r:id="rId6">
        <w:r>
          <w:rPr>
            <w:color w:val="1155CC"/>
            <w:u w:val="single"/>
          </w:rPr>
          <w:t>https://doi.org/10.1016/j.ncl.2010.03.003</w:t>
        </w:r>
      </w:hyperlink>
    </w:p>
    <w:p w14:paraId="3F8788B0" w14:textId="77777777" w:rsidR="00613670" w:rsidRDefault="00613670" w:rsidP="00613670">
      <w:pPr>
        <w:numPr>
          <w:ilvl w:val="0"/>
          <w:numId w:val="1"/>
        </w:numPr>
        <w:spacing w:line="480" w:lineRule="auto"/>
      </w:pPr>
      <w:r>
        <w:t xml:space="preserve">Markey KA, Mollan SP, Jensen RH, Sinclair AJ. Understanding idiopathic intracranial hypertension: mechanisms, management, and future directions. Lancet Neurol. 2016; 15(1):  78-91. </w:t>
      </w:r>
      <w:hyperlink r:id="rId7">
        <w:r>
          <w:rPr>
            <w:color w:val="1155CC"/>
            <w:u w:val="single"/>
          </w:rPr>
          <w:t>https://doi.org/10.1016/S1474-4422(15)00298-7</w:t>
        </w:r>
      </w:hyperlink>
    </w:p>
    <w:p w14:paraId="4D93962A" w14:textId="77777777" w:rsidR="00613670" w:rsidRDefault="00613670" w:rsidP="00613670">
      <w:pPr>
        <w:numPr>
          <w:ilvl w:val="0"/>
          <w:numId w:val="1"/>
        </w:numPr>
        <w:spacing w:line="480" w:lineRule="auto"/>
      </w:pPr>
      <w:r w:rsidRPr="00051F60">
        <w:rPr>
          <w:lang w:val="pt-BR"/>
        </w:rPr>
        <w:t xml:space="preserve">Garg, A., Bhatt, S., Bhargava, S., &amp; Manchanda, S. (2015). </w:t>
      </w:r>
      <w:r>
        <w:t xml:space="preserve">Magnetic resonance imaging of optic nerve. Indian Journal of Radiology and Imaging, 25(4), 421-38. </w:t>
      </w:r>
      <w:hyperlink r:id="rId8">
        <w:r>
          <w:rPr>
            <w:color w:val="1155CC"/>
            <w:u w:val="single"/>
          </w:rPr>
          <w:t>https://pmc.ncbi.nlm.nih.gov/articles/PMC4693392/</w:t>
        </w:r>
      </w:hyperlink>
    </w:p>
    <w:p w14:paraId="31F49503" w14:textId="77777777" w:rsidR="00613670" w:rsidRDefault="00613670" w:rsidP="00613670">
      <w:pPr>
        <w:numPr>
          <w:ilvl w:val="0"/>
          <w:numId w:val="1"/>
        </w:numPr>
        <w:spacing w:line="480" w:lineRule="auto"/>
      </w:pPr>
      <w:r>
        <w:t xml:space="preserve">van der Valk R, Webers CA, Schouten JS, Zeegers MP, Hendrikse F, Prins MH. Intraocular pressure-lowering effects of all commonly used glaucoma drugs: a meta-analysis of randomized clinical trials. </w:t>
      </w:r>
      <w:r>
        <w:rPr>
          <w:i/>
          <w:iCs/>
        </w:rPr>
        <w:t xml:space="preserve">Ophthalmology. </w:t>
      </w:r>
      <w:r>
        <w:t>2005; 112(7): 1177</w:t>
      </w:r>
      <w:r>
        <w:rPr>
          <w:i/>
          <w:iCs/>
        </w:rPr>
        <w:t>-</w:t>
      </w:r>
      <w:r>
        <w:t xml:space="preserve">85. </w:t>
      </w:r>
      <w:hyperlink r:id="rId9">
        <w:r>
          <w:rPr>
            <w:color w:val="1155CC"/>
            <w:u w:val="single"/>
          </w:rPr>
          <w:t>https://doi.org/10.1016/j.ophtha.2005.01.042</w:t>
        </w:r>
      </w:hyperlink>
    </w:p>
    <w:p w14:paraId="0F056012" w14:textId="77777777" w:rsidR="00613670" w:rsidRDefault="00613670" w:rsidP="00613670">
      <w:pPr>
        <w:numPr>
          <w:ilvl w:val="0"/>
          <w:numId w:val="1"/>
        </w:numPr>
        <w:spacing w:line="480" w:lineRule="auto"/>
      </w:pPr>
      <w:r w:rsidRPr="00051F60">
        <w:rPr>
          <w:lang w:val="fr-FR"/>
        </w:rPr>
        <w:t xml:space="preserve">Tsai JC, McClure CA, Ramos SE, Schlundt DG, Pichert JW. </w:t>
      </w:r>
      <w:r>
        <w:t xml:space="preserve">Compliance barriers in glaucoma: a systematic classification. </w:t>
      </w:r>
      <w:r>
        <w:rPr>
          <w:i/>
          <w:iCs/>
        </w:rPr>
        <w:t xml:space="preserve">J Glaucoma. </w:t>
      </w:r>
      <w:r>
        <w:t>2003; 12(5):  393</w:t>
      </w:r>
      <w:r>
        <w:rPr>
          <w:i/>
          <w:iCs/>
        </w:rPr>
        <w:t>-</w:t>
      </w:r>
      <w:r>
        <w:t xml:space="preserve">8. </w:t>
      </w:r>
      <w:hyperlink r:id="rId10">
        <w:r>
          <w:rPr>
            <w:color w:val="1155CC"/>
            <w:u w:val="single"/>
          </w:rPr>
          <w:t>https://doi.org/10.1097/00061198-200310000-00001</w:t>
        </w:r>
      </w:hyperlink>
    </w:p>
    <w:p w14:paraId="5C434D0F" w14:textId="77777777" w:rsidR="00613670" w:rsidRDefault="00613670" w:rsidP="00613670">
      <w:pPr>
        <w:numPr>
          <w:ilvl w:val="0"/>
          <w:numId w:val="1"/>
        </w:numPr>
        <w:spacing w:line="480" w:lineRule="auto"/>
      </w:pPr>
      <w:r>
        <w:t xml:space="preserve">Kass MA, Heuer DK, Higginbotham EJ, et al. The Ocular Hypertension Treatment Study: a randomized trial determines that topical ocular hypotensive medication delays or prevents the onset of primary open-angle glaucoma. </w:t>
      </w:r>
      <w:r>
        <w:rPr>
          <w:i/>
          <w:iCs/>
        </w:rPr>
        <w:t xml:space="preserve">Arch Ophthalmol. </w:t>
      </w:r>
      <w:r>
        <w:t>2002; 120(6):  701</w:t>
      </w:r>
      <w:r>
        <w:rPr>
          <w:i/>
          <w:iCs/>
        </w:rPr>
        <w:t>-</w:t>
      </w:r>
      <w:r>
        <w:t xml:space="preserve">830. </w:t>
      </w:r>
      <w:hyperlink r:id="rId11">
        <w:r>
          <w:rPr>
            <w:color w:val="1155CC"/>
            <w:u w:val="single"/>
          </w:rPr>
          <w:t>https://doi.org/10.1001/archopht.120.6.701</w:t>
        </w:r>
      </w:hyperlink>
    </w:p>
    <w:p w14:paraId="1CF00CF9" w14:textId="77777777" w:rsidR="00613670" w:rsidRDefault="00613670" w:rsidP="00613670">
      <w:pPr>
        <w:numPr>
          <w:ilvl w:val="0"/>
          <w:numId w:val="1"/>
        </w:numPr>
        <w:spacing w:line="480" w:lineRule="auto"/>
      </w:pPr>
      <w:r w:rsidRPr="00051F60">
        <w:rPr>
          <w:lang w:val="fr-FR"/>
        </w:rPr>
        <w:t xml:space="preserve">Harasymowycz P, Royer C, Cui AX, et al. </w:t>
      </w:r>
      <w:r>
        <w:t xml:space="preserve">Short-term efficacy of latanoprostene bunod for the treatment of open-angle glaucoma and ocular hypertension: a systematic literature review and a network meta-analysis. Br J Ophthalmol. 2022; 106(5):  640-7. </w:t>
      </w:r>
      <w:hyperlink r:id="rId12">
        <w:r>
          <w:rPr>
            <w:color w:val="1155CC"/>
            <w:u w:val="single"/>
          </w:rPr>
          <w:t>https://doi.org/10.1136/bjophthalmol-2020-317262</w:t>
        </w:r>
      </w:hyperlink>
    </w:p>
    <w:p w14:paraId="402E5BBD" w14:textId="77777777" w:rsidR="00613670" w:rsidRDefault="00613670" w:rsidP="00613670">
      <w:pPr>
        <w:numPr>
          <w:ilvl w:val="0"/>
          <w:numId w:val="1"/>
        </w:numPr>
        <w:spacing w:line="480" w:lineRule="auto"/>
      </w:pPr>
      <w:r w:rsidRPr="00051F60">
        <w:rPr>
          <w:lang w:val="fr-FR"/>
        </w:rPr>
        <w:lastRenderedPageBreak/>
        <w:t xml:space="preserve">Wang Y, Wu Q, Wang P, et al. </w:t>
      </w:r>
      <w:r>
        <w:t xml:space="preserve">The effects of physicians’ communication and empathy ability on physician-patient relationship from physicians’ and patients’ perspectives. J Clin Psychol Med Settings. 2022; 29(4):  849-60. </w:t>
      </w:r>
      <w:hyperlink r:id="rId13">
        <w:r>
          <w:rPr>
            <w:color w:val="1155CC"/>
            <w:highlight w:val="white"/>
            <w:u w:val="single"/>
          </w:rPr>
          <w:t>https://doi.org/10.1007/s10880-022-09844-1</w:t>
        </w:r>
      </w:hyperlink>
    </w:p>
    <w:p w14:paraId="4D822CBD" w14:textId="77777777" w:rsidR="00613670" w:rsidRDefault="00613670" w:rsidP="00613670">
      <w:pPr>
        <w:numPr>
          <w:ilvl w:val="0"/>
          <w:numId w:val="1"/>
        </w:numPr>
        <w:spacing w:line="480" w:lineRule="auto"/>
        <w:rPr>
          <w:color w:val="212121"/>
          <w:highlight w:val="white"/>
        </w:rPr>
      </w:pPr>
      <w:r>
        <w:t xml:space="preserve">Baile WF, Buckman R, Lenzi R, et al. SPIKES-A six-step protocol for delivering bad news: application to the patient with cancer. Oncologist. 2000; 5(4):  302-11. </w:t>
      </w:r>
      <w:hyperlink r:id="rId14">
        <w:r>
          <w:rPr>
            <w:color w:val="1155CC"/>
            <w:highlight w:val="white"/>
            <w:u w:val="single"/>
          </w:rPr>
          <w:t>https://doi.org/10.1634/theoncologist.5-4-302</w:t>
        </w:r>
      </w:hyperlink>
    </w:p>
    <w:p w14:paraId="15FB28A7" w14:textId="77777777" w:rsidR="00613670" w:rsidRDefault="00613670" w:rsidP="00613670">
      <w:pPr>
        <w:numPr>
          <w:ilvl w:val="0"/>
          <w:numId w:val="1"/>
        </w:numPr>
        <w:spacing w:line="480" w:lineRule="auto"/>
        <w:rPr>
          <w:color w:val="212121"/>
          <w:highlight w:val="white"/>
        </w:rPr>
      </w:pPr>
      <w:r>
        <w:t xml:space="preserve">Anonymous. On being a doctor: Our family's secrets. </w:t>
      </w:r>
      <w:r>
        <w:rPr>
          <w:i/>
          <w:iCs/>
        </w:rPr>
        <w:t>Ann Intern Med</w:t>
      </w:r>
      <w:r>
        <w:t>. 2015; 163(4): 321.</w:t>
      </w:r>
    </w:p>
    <w:p w14:paraId="5F5347E9" w14:textId="77777777" w:rsidR="00613670" w:rsidRDefault="00613670" w:rsidP="00613670">
      <w:pPr>
        <w:numPr>
          <w:ilvl w:val="0"/>
          <w:numId w:val="1"/>
        </w:numPr>
        <w:spacing w:line="480" w:lineRule="auto"/>
        <w:rPr>
          <w:color w:val="212121"/>
          <w:highlight w:val="white"/>
        </w:rPr>
      </w:pPr>
      <w:r>
        <w:rPr>
          <w:color w:val="212121"/>
          <w:highlight w:val="white"/>
        </w:rPr>
        <w:t xml:space="preserve">O’Daniel M, Rosenstein AH. Professional communication and team collaboration. In: Hughes RG, ed. </w:t>
      </w:r>
      <w:r>
        <w:rPr>
          <w:i/>
          <w:iCs/>
          <w:color w:val="212121"/>
          <w:highlight w:val="white"/>
        </w:rPr>
        <w:t>Patient Safety and Quality: An Evidence-Based Handbook for Nurses</w:t>
      </w:r>
      <w:r>
        <w:rPr>
          <w:color w:val="212121"/>
          <w:highlight w:val="white"/>
        </w:rPr>
        <w:t>. Agency for Healthcare Research and Quality; 2008. Chap. 33.</w:t>
      </w:r>
    </w:p>
    <w:p w14:paraId="18FAAD28" w14:textId="77777777" w:rsidR="00613670" w:rsidRDefault="00613670" w:rsidP="00613670">
      <w:pPr>
        <w:numPr>
          <w:ilvl w:val="0"/>
          <w:numId w:val="1"/>
        </w:numPr>
        <w:spacing w:line="480" w:lineRule="auto"/>
      </w:pPr>
      <w:r>
        <w:t xml:space="preserve">Syed ST, Gerber BS, Sharp LK. Traveling towards disease: transportation barriers to health care access. </w:t>
      </w:r>
      <w:r>
        <w:rPr>
          <w:i/>
          <w:iCs/>
        </w:rPr>
        <w:t xml:space="preserve">J Community Health. </w:t>
      </w:r>
      <w:r>
        <w:t>2013; 38(5):  976</w:t>
      </w:r>
      <w:r>
        <w:rPr>
          <w:i/>
          <w:iCs/>
        </w:rPr>
        <w:t>-</w:t>
      </w:r>
      <w:r>
        <w:t xml:space="preserve">93. </w:t>
      </w:r>
      <w:hyperlink r:id="rId15">
        <w:r>
          <w:rPr>
            <w:color w:val="1155CC"/>
            <w:highlight w:val="white"/>
            <w:u w:val="single"/>
          </w:rPr>
          <w:t>https://doi.org/10.1007/s10900-013-9681-1</w:t>
        </w:r>
      </w:hyperlink>
    </w:p>
    <w:p w14:paraId="63D1A681" w14:textId="77777777" w:rsidR="00613670" w:rsidRDefault="00613670" w:rsidP="00613670">
      <w:pPr>
        <w:numPr>
          <w:ilvl w:val="0"/>
          <w:numId w:val="1"/>
        </w:numPr>
        <w:spacing w:after="360" w:line="480" w:lineRule="auto"/>
        <w:rPr>
          <w:color w:val="1B1B1B"/>
          <w:highlight w:val="white"/>
        </w:rPr>
      </w:pPr>
      <w:r>
        <w:t xml:space="preserve">Wolfe MK, McDonald NC, Holmes GM, Hunt KE. Transportation barriers to health care in the United States: findings from the National Health Interview Survey. </w:t>
      </w:r>
      <w:r>
        <w:rPr>
          <w:i/>
          <w:iCs/>
        </w:rPr>
        <w:t xml:space="preserve">Am J Public Health. </w:t>
      </w:r>
      <w:r>
        <w:t xml:space="preserve">2020; 110(6):  815-22. </w:t>
      </w:r>
      <w:hyperlink r:id="rId16">
        <w:r>
          <w:rPr>
            <w:color w:val="1155CC"/>
            <w:highlight w:val="white"/>
            <w:u w:val="single"/>
          </w:rPr>
          <w:t>https://doi.org/10.2105/AJPH.2020.305579</w:t>
        </w:r>
      </w:hyperlink>
    </w:p>
    <w:p w14:paraId="7CED8DEF" w14:textId="77777777" w:rsidR="00613670" w:rsidRDefault="00613670" w:rsidP="00613670">
      <w:pPr>
        <w:spacing w:before="120" w:after="120"/>
        <w:ind w:left="720"/>
        <w:rPr>
          <w:color w:val="212121"/>
          <w:highlight w:val="white"/>
        </w:rPr>
      </w:pPr>
    </w:p>
    <w:p w14:paraId="406AF951" w14:textId="77777777" w:rsidR="00613670" w:rsidRDefault="00613670" w:rsidP="00613670">
      <w:pPr>
        <w:spacing w:before="360" w:after="360"/>
        <w:rPr>
          <w:rFonts w:ascii="Roboto" w:eastAsia="Roboto" w:hAnsi="Roboto" w:cs="Roboto"/>
          <w:color w:val="212121"/>
          <w:sz w:val="24"/>
          <w:szCs w:val="24"/>
          <w:highlight w:val="white"/>
        </w:rPr>
      </w:pPr>
    </w:p>
    <w:p w14:paraId="62EB7D0D" w14:textId="77777777" w:rsidR="00613670" w:rsidRDefault="00613670" w:rsidP="00613670">
      <w:pPr>
        <w:spacing w:before="360" w:after="360"/>
      </w:pPr>
    </w:p>
    <w:p w14:paraId="7F2959C0" w14:textId="77777777" w:rsidR="00613670" w:rsidRDefault="00613670" w:rsidP="00613670">
      <w:pPr>
        <w:ind w:left="720"/>
      </w:pPr>
    </w:p>
    <w:p w14:paraId="2ABA44FD" w14:textId="77777777" w:rsidR="009D4E5B" w:rsidRDefault="009D4E5B"/>
    <w:sectPr w:rsidR="009D4E5B" w:rsidSect="0061367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CF2A91"/>
    <w:multiLevelType w:val="multilevel"/>
    <w:tmpl w:val="60481D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92134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670"/>
    <w:rsid w:val="00061DD4"/>
    <w:rsid w:val="000650DA"/>
    <w:rsid w:val="000C0CBB"/>
    <w:rsid w:val="002316C2"/>
    <w:rsid w:val="002F5C20"/>
    <w:rsid w:val="00613670"/>
    <w:rsid w:val="009D4E5B"/>
    <w:rsid w:val="00C16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E8A428"/>
  <w15:chartTrackingRefBased/>
  <w15:docId w15:val="{78F1D85F-ED9B-A94D-AEB0-D25574BD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670"/>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613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3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670"/>
    <w:rPr>
      <w:rFonts w:eastAsiaTheme="majorEastAsia" w:cstheme="majorBidi"/>
      <w:color w:val="272727" w:themeColor="text1" w:themeTint="D8"/>
    </w:rPr>
  </w:style>
  <w:style w:type="paragraph" w:styleId="Title">
    <w:name w:val="Title"/>
    <w:basedOn w:val="Normal"/>
    <w:next w:val="Normal"/>
    <w:link w:val="TitleChar"/>
    <w:uiPriority w:val="10"/>
    <w:qFormat/>
    <w:rsid w:val="006136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670"/>
    <w:pPr>
      <w:spacing w:before="160"/>
      <w:jc w:val="center"/>
    </w:pPr>
    <w:rPr>
      <w:i/>
      <w:iCs/>
      <w:color w:val="404040" w:themeColor="text1" w:themeTint="BF"/>
    </w:rPr>
  </w:style>
  <w:style w:type="character" w:customStyle="1" w:styleId="QuoteChar">
    <w:name w:val="Quote Char"/>
    <w:basedOn w:val="DefaultParagraphFont"/>
    <w:link w:val="Quote"/>
    <w:uiPriority w:val="29"/>
    <w:rsid w:val="00613670"/>
    <w:rPr>
      <w:i/>
      <w:iCs/>
      <w:color w:val="404040" w:themeColor="text1" w:themeTint="BF"/>
    </w:rPr>
  </w:style>
  <w:style w:type="paragraph" w:styleId="ListParagraph">
    <w:name w:val="List Paragraph"/>
    <w:basedOn w:val="Normal"/>
    <w:uiPriority w:val="34"/>
    <w:qFormat/>
    <w:rsid w:val="00613670"/>
    <w:pPr>
      <w:ind w:left="720"/>
      <w:contextualSpacing/>
    </w:pPr>
  </w:style>
  <w:style w:type="character" w:styleId="IntenseEmphasis">
    <w:name w:val="Intense Emphasis"/>
    <w:basedOn w:val="DefaultParagraphFont"/>
    <w:uiPriority w:val="21"/>
    <w:qFormat/>
    <w:rsid w:val="00613670"/>
    <w:rPr>
      <w:i/>
      <w:iCs/>
      <w:color w:val="0F4761" w:themeColor="accent1" w:themeShade="BF"/>
    </w:rPr>
  </w:style>
  <w:style w:type="paragraph" w:styleId="IntenseQuote">
    <w:name w:val="Intense Quote"/>
    <w:basedOn w:val="Normal"/>
    <w:next w:val="Normal"/>
    <w:link w:val="IntenseQuoteChar"/>
    <w:uiPriority w:val="30"/>
    <w:qFormat/>
    <w:rsid w:val="00613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670"/>
    <w:rPr>
      <w:i/>
      <w:iCs/>
      <w:color w:val="0F4761" w:themeColor="accent1" w:themeShade="BF"/>
    </w:rPr>
  </w:style>
  <w:style w:type="character" w:styleId="IntenseReference">
    <w:name w:val="Intense Reference"/>
    <w:basedOn w:val="DefaultParagraphFont"/>
    <w:uiPriority w:val="32"/>
    <w:qFormat/>
    <w:rsid w:val="006136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mc.ncbi.nlm.nih.gov/articles/PMC4693392/" TargetMode="External"/><Relationship Id="rId13" Type="http://schemas.openxmlformats.org/officeDocument/2006/relationships/hyperlink" Target="https://doi.org/10.1007/s10880-022-09844-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6/S1474-4422(15)00298-7" TargetMode="External"/><Relationship Id="rId12" Type="http://schemas.openxmlformats.org/officeDocument/2006/relationships/hyperlink" Target="https://doi.org/10.1136/bjophthalmol-2020-31726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2105/AJPH.2020.305579" TargetMode="External"/><Relationship Id="rId1" Type="http://schemas.openxmlformats.org/officeDocument/2006/relationships/numbering" Target="numbering.xml"/><Relationship Id="rId6" Type="http://schemas.openxmlformats.org/officeDocument/2006/relationships/hyperlink" Target="https://doi.org/10.1016/j.ncl.2010.03.003" TargetMode="External"/><Relationship Id="rId11" Type="http://schemas.openxmlformats.org/officeDocument/2006/relationships/hyperlink" Target="https://doi.org/10.1001/archopht.120.6.701" TargetMode="External"/><Relationship Id="rId5" Type="http://schemas.openxmlformats.org/officeDocument/2006/relationships/image" Target="media/image1.png"/><Relationship Id="rId15" Type="http://schemas.openxmlformats.org/officeDocument/2006/relationships/hyperlink" Target="https://doi.org/10.1007/s10900-013-9681-1" TargetMode="External"/><Relationship Id="rId10" Type="http://schemas.openxmlformats.org/officeDocument/2006/relationships/hyperlink" Target="https://doi.org/10.1097/00061198-200310000-00001" TargetMode="External"/><Relationship Id="rId4" Type="http://schemas.openxmlformats.org/officeDocument/2006/relationships/webSettings" Target="webSettings.xml"/><Relationship Id="rId9" Type="http://schemas.openxmlformats.org/officeDocument/2006/relationships/hyperlink" Target="https://doi.org/10.1016/j.ophtha.2005.01.042" TargetMode="External"/><Relationship Id="rId14" Type="http://schemas.openxmlformats.org/officeDocument/2006/relationships/hyperlink" Target="https://doi.org/10.1634/theoncologist.5-4-3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5697</Words>
  <Characters>32478</Characters>
  <Application>Microsoft Office Word</Application>
  <DocSecurity>4</DocSecurity>
  <Lines>270</Lines>
  <Paragraphs>76</Paragraphs>
  <ScaleCrop>false</ScaleCrop>
  <Company/>
  <LinksUpToDate>false</LinksUpToDate>
  <CharactersWithSpaces>38099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Josiah-Otto, Sarah</dc:creator>
  <cp:keywords/>
  <dc:description/>
  <cp:lastModifiedBy>David DeLaet</cp:lastModifiedBy>
  <cp:revision>2</cp:revision>
  <dcterms:created xsi:type="dcterms:W3CDTF">2026-05-14T17:16:00Z</dcterms:created>
  <dcterms:modified xsi:type="dcterms:W3CDTF">2026-05-14T17:16:00Z</dcterms:modified>
</cp:coreProperties>
</file>