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F5F" w:rsidRPr="00736D5E" w:rsidRDefault="00246F5F" w:rsidP="001A7A7A">
      <w:pPr>
        <w:widowControl w:val="0"/>
        <w:tabs>
          <w:tab w:val="left" w:pos="4608"/>
        </w:tabs>
        <w:spacing w:line="480" w:lineRule="auto"/>
        <w:outlineLvl w:val="0"/>
      </w:pPr>
      <w:r w:rsidRPr="00736D5E">
        <w:t xml:space="preserve">Running head: </w:t>
      </w:r>
      <w:r w:rsidR="006C3F95" w:rsidRPr="00736D5E">
        <w:t>ANTICIPATORY SOCIALIZATION FOR RETIREMENT</w:t>
      </w:r>
    </w:p>
    <w:p w:rsidR="00246F5F" w:rsidRPr="00736D5E" w:rsidRDefault="002F2782" w:rsidP="001A7A7A">
      <w:pPr>
        <w:widowControl w:val="0"/>
        <w:tabs>
          <w:tab w:val="left" w:pos="2905"/>
        </w:tabs>
        <w:spacing w:line="480" w:lineRule="auto"/>
      </w:pPr>
      <w:r w:rsidRPr="00736D5E">
        <w:tab/>
      </w:r>
    </w:p>
    <w:p w:rsidR="00CA5A65" w:rsidRPr="00736D5E" w:rsidRDefault="00CA5A65" w:rsidP="001A7A7A">
      <w:pPr>
        <w:widowControl w:val="0"/>
        <w:spacing w:line="480" w:lineRule="auto"/>
      </w:pPr>
    </w:p>
    <w:p w:rsidR="006C3F95" w:rsidRPr="00736D5E" w:rsidRDefault="006C3F95" w:rsidP="001A7A7A">
      <w:pPr>
        <w:widowControl w:val="0"/>
        <w:spacing w:line="480" w:lineRule="auto"/>
      </w:pPr>
    </w:p>
    <w:p w:rsidR="006C3F95" w:rsidRPr="00736D5E" w:rsidRDefault="006C3F95" w:rsidP="001A7A7A">
      <w:pPr>
        <w:widowControl w:val="0"/>
        <w:spacing w:line="480" w:lineRule="auto"/>
      </w:pPr>
    </w:p>
    <w:p w:rsidR="00CA5A65" w:rsidRPr="00736D5E" w:rsidRDefault="00CA5A65" w:rsidP="001A7A7A">
      <w:pPr>
        <w:widowControl w:val="0"/>
        <w:spacing w:line="480" w:lineRule="auto"/>
      </w:pPr>
    </w:p>
    <w:p w:rsidR="00CA5A65" w:rsidRPr="00736D5E" w:rsidRDefault="00CA5A65" w:rsidP="001A7A7A">
      <w:pPr>
        <w:widowControl w:val="0"/>
        <w:spacing w:line="480" w:lineRule="auto"/>
      </w:pPr>
    </w:p>
    <w:p w:rsidR="00252D23" w:rsidRPr="00736D5E" w:rsidRDefault="006C3F95" w:rsidP="001A7A7A">
      <w:pPr>
        <w:widowControl w:val="0"/>
        <w:spacing w:line="480" w:lineRule="auto"/>
        <w:jc w:val="center"/>
      </w:pPr>
      <w:r w:rsidRPr="00736D5E">
        <w:t>Anticipatory Socialization for Retirement: A Multilevel Dyadic Model</w:t>
      </w:r>
    </w:p>
    <w:p w:rsidR="00FA4285" w:rsidRPr="00736D5E" w:rsidRDefault="00FA4285" w:rsidP="001A7A7A">
      <w:pPr>
        <w:widowControl w:val="0"/>
        <w:spacing w:line="480" w:lineRule="auto"/>
        <w:jc w:val="center"/>
      </w:pPr>
    </w:p>
    <w:p w:rsidR="00524267" w:rsidRPr="00725359" w:rsidRDefault="00524267" w:rsidP="001A7A7A">
      <w:pPr>
        <w:pStyle w:val="Default"/>
        <w:widowControl w:val="0"/>
      </w:pPr>
    </w:p>
    <w:p w:rsidR="006F01BF" w:rsidRDefault="006F01BF" w:rsidP="006F01BF">
      <w:pPr>
        <w:widowControl w:val="0"/>
        <w:spacing w:line="480" w:lineRule="auto"/>
        <w:jc w:val="center"/>
      </w:pPr>
      <w:r>
        <w:t>Angela L. Curl, MSW, PhD</w:t>
      </w:r>
    </w:p>
    <w:p w:rsidR="006F01BF" w:rsidRDefault="006F01BF" w:rsidP="006F01BF">
      <w:pPr>
        <w:widowControl w:val="0"/>
        <w:spacing w:line="480" w:lineRule="auto"/>
        <w:jc w:val="center"/>
      </w:pPr>
      <w:r>
        <w:t xml:space="preserve">&amp; </w:t>
      </w:r>
    </w:p>
    <w:p w:rsidR="006F01BF" w:rsidRDefault="006F01BF" w:rsidP="006F01BF">
      <w:pPr>
        <w:widowControl w:val="0"/>
        <w:spacing w:line="480" w:lineRule="auto"/>
        <w:jc w:val="center"/>
      </w:pPr>
      <w:r>
        <w:t>Jerry G. Ingram, MSW, PhD</w:t>
      </w:r>
    </w:p>
    <w:p w:rsidR="006F01BF" w:rsidRDefault="006F01BF" w:rsidP="006F01BF">
      <w:pPr>
        <w:pStyle w:val="Default"/>
        <w:widowControl w:val="0"/>
      </w:pPr>
    </w:p>
    <w:p w:rsidR="006F01BF" w:rsidRDefault="006F01BF" w:rsidP="006F01BF">
      <w:pPr>
        <w:pStyle w:val="Default"/>
        <w:widowControl w:val="0"/>
      </w:pPr>
    </w:p>
    <w:p w:rsidR="006F01BF" w:rsidRDefault="006F01BF" w:rsidP="006F01BF">
      <w:pPr>
        <w:pStyle w:val="Default"/>
        <w:widowControl w:val="0"/>
      </w:pPr>
    </w:p>
    <w:p w:rsidR="006F01BF" w:rsidRDefault="006F01BF" w:rsidP="006F01BF">
      <w:pPr>
        <w:pStyle w:val="Default"/>
        <w:widowControl w:val="0"/>
      </w:pPr>
    </w:p>
    <w:p w:rsidR="006F01BF" w:rsidRDefault="006F01BF" w:rsidP="006F01BF">
      <w:pPr>
        <w:pStyle w:val="Default"/>
        <w:widowControl w:val="0"/>
      </w:pPr>
    </w:p>
    <w:p w:rsidR="006F01BF" w:rsidRDefault="006F01BF" w:rsidP="006F01BF">
      <w:pPr>
        <w:pStyle w:val="Default"/>
        <w:widowControl w:val="0"/>
      </w:pPr>
    </w:p>
    <w:p w:rsidR="006F01BF" w:rsidRDefault="006F01BF" w:rsidP="006F01BF">
      <w:pPr>
        <w:pStyle w:val="Default"/>
        <w:widowControl w:val="0"/>
      </w:pPr>
      <w:r>
        <w:t xml:space="preserve">Corresponding author: </w:t>
      </w:r>
    </w:p>
    <w:p w:rsidR="006F01BF" w:rsidRDefault="006F01BF" w:rsidP="006F01BF">
      <w:pPr>
        <w:pStyle w:val="Default"/>
        <w:widowControl w:val="0"/>
      </w:pPr>
      <w:r>
        <w:t>Angela L. Curl, MSW, PhD</w:t>
      </w:r>
    </w:p>
    <w:p w:rsidR="006F01BF" w:rsidRDefault="006F01BF" w:rsidP="006F01BF">
      <w:pPr>
        <w:pStyle w:val="Default"/>
        <w:widowControl w:val="0"/>
      </w:pPr>
      <w:r>
        <w:t>Assistant Professor</w:t>
      </w:r>
    </w:p>
    <w:p w:rsidR="006F01BF" w:rsidRDefault="006F01BF" w:rsidP="006F01BF">
      <w:pPr>
        <w:pStyle w:val="Default"/>
        <w:widowControl w:val="0"/>
      </w:pPr>
      <w:r>
        <w:t>John A. Hartford Faculty Scholar</w:t>
      </w:r>
    </w:p>
    <w:p w:rsidR="006F01BF" w:rsidRDefault="006F01BF" w:rsidP="006F01BF">
      <w:pPr>
        <w:pStyle w:val="Default"/>
        <w:widowControl w:val="0"/>
      </w:pPr>
      <w:r>
        <w:t>School of Social Work</w:t>
      </w:r>
    </w:p>
    <w:p w:rsidR="006F01BF" w:rsidRDefault="006F01BF" w:rsidP="006F01BF">
      <w:pPr>
        <w:pStyle w:val="Default"/>
        <w:widowControl w:val="0"/>
      </w:pPr>
      <w:r>
        <w:t>709 Clark Hall</w:t>
      </w:r>
    </w:p>
    <w:p w:rsidR="006F01BF" w:rsidRDefault="006F01BF" w:rsidP="006F01BF">
      <w:pPr>
        <w:pStyle w:val="Default"/>
        <w:widowControl w:val="0"/>
      </w:pPr>
      <w:r>
        <w:t>University of Missouri</w:t>
      </w:r>
    </w:p>
    <w:p w:rsidR="006F01BF" w:rsidRDefault="006F01BF" w:rsidP="006F01BF">
      <w:pPr>
        <w:pStyle w:val="Default"/>
        <w:widowControl w:val="0"/>
      </w:pPr>
      <w:r>
        <w:t>Columbia, MO  65211-4470</w:t>
      </w:r>
    </w:p>
    <w:p w:rsidR="006F01BF" w:rsidRDefault="006F01BF" w:rsidP="006F01BF">
      <w:pPr>
        <w:pStyle w:val="Default"/>
        <w:widowControl w:val="0"/>
      </w:pPr>
      <w:r>
        <w:t>Phone: 573-884-6043</w:t>
      </w:r>
    </w:p>
    <w:p w:rsidR="006F01BF" w:rsidRDefault="006F01BF" w:rsidP="006F01BF">
      <w:pPr>
        <w:pStyle w:val="Default"/>
        <w:widowControl w:val="0"/>
      </w:pPr>
      <w:r>
        <w:t>FAX: 573-882-8926</w:t>
      </w:r>
    </w:p>
    <w:p w:rsidR="006F01BF" w:rsidRDefault="006F01BF" w:rsidP="006F01BF">
      <w:pPr>
        <w:pStyle w:val="Default"/>
        <w:widowControl w:val="0"/>
      </w:pPr>
      <w:r>
        <w:t>CurlA@missouri.edu</w:t>
      </w:r>
    </w:p>
    <w:p w:rsidR="00B571CB" w:rsidRPr="00736D5E" w:rsidRDefault="00B571CB" w:rsidP="001A7A7A">
      <w:pPr>
        <w:widowControl w:val="0"/>
        <w:spacing w:line="480" w:lineRule="auto"/>
        <w:rPr>
          <w:color w:val="221E1F"/>
        </w:rPr>
      </w:pPr>
    </w:p>
    <w:p w:rsidR="006F01BF" w:rsidRDefault="006F01BF" w:rsidP="001A7A7A">
      <w:pPr>
        <w:widowControl w:val="0"/>
        <w:spacing w:line="480" w:lineRule="auto"/>
        <w:jc w:val="center"/>
      </w:pPr>
    </w:p>
    <w:p w:rsidR="00E31CA3" w:rsidRPr="00736D5E" w:rsidRDefault="006B5BC6" w:rsidP="001A7A7A">
      <w:pPr>
        <w:widowControl w:val="0"/>
        <w:spacing w:line="480" w:lineRule="auto"/>
        <w:jc w:val="center"/>
      </w:pPr>
      <w:r w:rsidRPr="00736D5E">
        <w:lastRenderedPageBreak/>
        <w:t>Abstract</w:t>
      </w:r>
    </w:p>
    <w:p w:rsidR="00EE7F77" w:rsidRPr="00AA48C3" w:rsidRDefault="00EE7F77" w:rsidP="00545BEE">
      <w:pPr>
        <w:spacing w:line="480" w:lineRule="auto"/>
      </w:pPr>
      <w:r w:rsidRPr="00AA48C3">
        <w:t>Role theory, widely used to examine human behavior, has often been used to describe the transition from work to retirement. Anticipatory socialization, a role theory concept, describes the process that occurs prior to role transitions and assists in that transition by helping individuals learn the norms for the new role. However, not all workers engage in retirement planning. Lack of retirement planning is of concern because those individuals who do not plan for major life transitions tend to be less successful in adjusting to role changes. Data from the Health and Retirement Study were used; selection criteria required participants to be age 45 or older, working full- or part-time, and have complete data for the study variables. Multilevel modeling results of dyadic data from the Health and Retirement Study (</w:t>
      </w:r>
      <w:r w:rsidRPr="00AA48C3">
        <w:rPr>
          <w:i/>
        </w:rPr>
        <w:t>N</w:t>
      </w:r>
      <w:r w:rsidRPr="00AA48C3">
        <w:t xml:space="preserve"> = 1,028 dual-earner couples) indicate that older age, being White, higher income, greater retirement wealth, and looking forward to retirement predicted greater anticipatory socialization (i.e., thinking about and discussing retirement) by both husbands and wives. For wives only, having a health problem limiting work, higher spouse occupational status, and having a spouse who was looking forward to retirement predicted more anticipatory socialization. For husbands only, higher education, higher depressive symptomatology, and lower occupational status predicted more anticipatory socialization. This study found evidence of spousal congruence, with husbands, on average, engaging in more anticipatory socialization than wives. These findings identify couples that could most benefit from targeted efforts to increase anticipatory socialization, which predicts better retirement adjustment and satisfaction.</w:t>
      </w:r>
    </w:p>
    <w:p w:rsidR="00171F9F" w:rsidRPr="00736D5E" w:rsidRDefault="00171F9F" w:rsidP="00171F9F">
      <w:pPr>
        <w:pStyle w:val="NormalWeb"/>
        <w:widowControl w:val="0"/>
        <w:spacing w:before="0" w:beforeAutospacing="0" w:after="0" w:afterAutospacing="0" w:line="480" w:lineRule="auto"/>
        <w:rPr>
          <w:rFonts w:ascii="Times New Roman" w:hAnsi="Times New Roman" w:cs="Times New Roman"/>
          <w:sz w:val="24"/>
          <w:szCs w:val="24"/>
        </w:rPr>
      </w:pPr>
    </w:p>
    <w:p w:rsidR="004C0D18" w:rsidRPr="00736D5E" w:rsidRDefault="004C0D18" w:rsidP="001A7A7A">
      <w:pPr>
        <w:widowControl w:val="0"/>
        <w:spacing w:line="480" w:lineRule="auto"/>
      </w:pPr>
    </w:p>
    <w:p w:rsidR="00171F9F" w:rsidRPr="00736D5E" w:rsidRDefault="004C0D18" w:rsidP="00545BEE">
      <w:pPr>
        <w:widowControl w:val="0"/>
        <w:spacing w:line="480" w:lineRule="auto"/>
        <w:outlineLvl w:val="0"/>
        <w:rPr>
          <w:color w:val="000000"/>
        </w:rPr>
      </w:pPr>
      <w:r w:rsidRPr="00736D5E">
        <w:t xml:space="preserve">Keywords: </w:t>
      </w:r>
      <w:r w:rsidR="00F61124" w:rsidRPr="00736D5E">
        <w:t>retirement planning</w:t>
      </w:r>
      <w:r w:rsidR="00D94091" w:rsidRPr="00736D5E">
        <w:t xml:space="preserve">, </w:t>
      </w:r>
      <w:r w:rsidR="00BC6998" w:rsidRPr="00736D5E">
        <w:t>married couples</w:t>
      </w:r>
      <w:r w:rsidR="00F61124" w:rsidRPr="00736D5E">
        <w:t>, disparities</w:t>
      </w:r>
      <w:r w:rsidR="006C1FFE" w:rsidRPr="00736D5E">
        <w:t>, anticipatory socialization</w:t>
      </w:r>
      <w:r w:rsidR="00171F9F" w:rsidRPr="00736D5E">
        <w:br w:type="page"/>
      </w:r>
    </w:p>
    <w:p w:rsidR="001C0305" w:rsidRPr="00736D5E" w:rsidRDefault="00AF5640" w:rsidP="001A7A7A">
      <w:pPr>
        <w:pStyle w:val="NormalWeb"/>
        <w:widowControl w:val="0"/>
        <w:spacing w:before="0" w:beforeAutospacing="0" w:after="0" w:afterAutospacing="0" w:line="480" w:lineRule="auto"/>
        <w:jc w:val="center"/>
        <w:outlineLvl w:val="0"/>
        <w:rPr>
          <w:rFonts w:ascii="Times New Roman" w:hAnsi="Times New Roman" w:cs="Times New Roman"/>
          <w:sz w:val="24"/>
          <w:szCs w:val="24"/>
        </w:rPr>
      </w:pPr>
      <w:r w:rsidRPr="00736D5E">
        <w:rPr>
          <w:rFonts w:ascii="Times New Roman" w:hAnsi="Times New Roman" w:cs="Times New Roman"/>
          <w:sz w:val="24"/>
          <w:szCs w:val="24"/>
        </w:rPr>
        <w:lastRenderedPageBreak/>
        <w:t>Anticipatory Socialization for Retirement: A Multilevel Dyadic Model</w:t>
      </w:r>
    </w:p>
    <w:p w:rsidR="00E14EEC" w:rsidRPr="00736D5E" w:rsidRDefault="00D51199" w:rsidP="001A7A7A">
      <w:pPr>
        <w:widowControl w:val="0"/>
        <w:spacing w:line="480" w:lineRule="auto"/>
        <w:ind w:firstLine="720"/>
      </w:pPr>
      <w:r w:rsidRPr="00736D5E">
        <w:t>The way that retirement is conceptual</w:t>
      </w:r>
      <w:r w:rsidR="0070442A" w:rsidRPr="00736D5E">
        <w:t>ized</w:t>
      </w:r>
      <w:r w:rsidRPr="00736D5E">
        <w:t xml:space="preserve"> and experienced continues to evolve (Savishinsky, 2000). </w:t>
      </w:r>
      <w:r w:rsidR="0046417C" w:rsidRPr="00736D5E">
        <w:t>While commonly viewed as a normal part of the life cycle, retirement is also a potentially life-altering process.</w:t>
      </w:r>
      <w:r w:rsidR="001F02DD" w:rsidRPr="00736D5E">
        <w:t xml:space="preserve"> </w:t>
      </w:r>
      <w:r w:rsidR="00836BDD" w:rsidRPr="00736D5E">
        <w:rPr>
          <w:iCs/>
        </w:rPr>
        <w:t xml:space="preserve">Research has shown that anticipatory socialization is part of planning for retirement </w:t>
      </w:r>
      <w:r w:rsidR="00DD774A" w:rsidRPr="00736D5E">
        <w:rPr>
          <w:iCs/>
        </w:rPr>
        <w:fldChar w:fldCharType="begin"/>
      </w:r>
      <w:r w:rsidR="00836BDD" w:rsidRPr="00736D5E">
        <w:rPr>
          <w:iCs/>
        </w:rPr>
        <w:instrText xml:space="preserve"> ADDIN EN.CITE &lt;EndNote&gt;&lt;Cite&gt;&lt;Author&gt;Dorfman&lt;/Author&gt;&lt;Year&gt;1989&lt;/Year&gt;&lt;RecNum&gt;38&lt;/RecNum&gt;&lt;MDL&gt;&lt;REFERENCE_TYPE&gt;0&lt;/REFERENCE_TYPE&gt;&lt;AUTHORS&gt;&lt;AUTHOR&gt;Dorfman, L. T.&lt;/AUTHOR&gt;&lt;/AUTHORS&gt;&lt;YEAR&gt;1989&lt;/YEAR&gt;&lt;TITLE&gt;Retirement preparation and retirement satisfaction in the rural elderly.&lt;/TITLE&gt;&lt;SECONDARY_TITLE&gt;The Journal of Applied Gerontology&lt;/SECONDARY_TITLE&gt;&lt;VOLUME&gt;8&lt;/VOLUME&gt;&lt;PAGES&gt;432-450&lt;/PAGES&gt;&lt;/MDL&gt;&lt;/Cite&gt;&lt;Cite&gt;&lt;Author&gt;Ekerdt&lt;/Author&gt;&lt;Year&gt;2000&lt;/Year&gt;&lt;RecNum&gt;44&lt;/RecNum&gt;&lt;MDL&gt;&lt;REFERENCE_TYPE&gt;0&lt;/REFERENCE_TYPE&gt;&lt;AUTHORS&gt;&lt;AUTHOR&gt;Ekerdt, D. J.&lt;/AUTHOR&gt;&lt;AUTHOR&gt;Kosloski, K.&lt;/AUTHOR&gt;&lt;AUTHOR&gt;DeViney, S&lt;/AUTHOR&gt;&lt;/AUTHORS&gt;&lt;YEAR&gt;2000&lt;/YEAR&gt;&lt;TITLE&gt;The normative anticipation of retirement by older workers&lt;/TITLE&gt;&lt;SECONDARY_TITLE&gt;Research on Aging&lt;/SECONDARY_TITLE&gt;&lt;VOLUME&gt;22&lt;/VOLUME&gt;&lt;PAGES&gt;3-22&lt;/PAGES&gt;&lt;/MDL&gt;&lt;/Cite&gt;&lt;Cite&gt;&lt;Author&gt;Kosloski&lt;/Author&gt;&lt;Year&gt;2001&lt;/Year&gt;&lt;RecNum&gt;176&lt;/RecNum&gt;&lt;MDL&gt;&lt;REFERENCE_TYPE&gt;0&lt;/REFERENCE_TYPE&gt;&lt;AUTHORS&gt;&lt;AUTHOR&gt;Kosloski, K.&lt;/AUTHOR&gt;&lt;AUTHOR&gt;Ekerdt, D. J&lt;/AUTHOR&gt;&lt;AUTHOR&gt;DeViney, S&lt;/AUTHOR&gt;&lt;/AUTHORS&gt;&lt;YEAR&gt;2001&lt;/YEAR&gt;&lt;TITLE&gt;The role of job-related rewards in retirement planning&lt;/TITLE&gt;&lt;SECONDARY_TITLE&gt;Journal of Gerontology: Psychological Sciences&lt;/SECONDARY_TITLE&gt;&lt;VOLUME&gt;56B&lt;/VOLUME&gt;&lt;PAGES&gt;P160-P169&lt;/PAGES&gt;&lt;/MDL&gt;&lt;/Cite&gt;&lt;/EndNote&gt;</w:instrText>
      </w:r>
      <w:r w:rsidR="00DD774A" w:rsidRPr="00736D5E">
        <w:rPr>
          <w:iCs/>
        </w:rPr>
        <w:fldChar w:fldCharType="separate"/>
      </w:r>
      <w:r w:rsidR="00836BDD" w:rsidRPr="00736D5E">
        <w:rPr>
          <w:iCs/>
        </w:rPr>
        <w:t>(</w:t>
      </w:r>
      <w:r w:rsidR="008A2DA7" w:rsidRPr="00736D5E">
        <w:rPr>
          <w:iCs/>
        </w:rPr>
        <w:t>Ekerdt, Kosloski, &amp; DeViney</w:t>
      </w:r>
      <w:r w:rsidR="00836BDD" w:rsidRPr="00736D5E">
        <w:rPr>
          <w:iCs/>
        </w:rPr>
        <w:t xml:space="preserve">, 2000; </w:t>
      </w:r>
      <w:r w:rsidR="00B145BC" w:rsidRPr="00736D5E">
        <w:rPr>
          <w:iCs/>
        </w:rPr>
        <w:t xml:space="preserve">Fitzpatrick, Vinick &amp; Bushfield, 2005; </w:t>
      </w:r>
      <w:r w:rsidR="00836BDD" w:rsidRPr="00736D5E">
        <w:rPr>
          <w:iCs/>
        </w:rPr>
        <w:t>Kosloski, Ekerdt &amp; DeViney, 2001)</w:t>
      </w:r>
      <w:r w:rsidR="00DD774A" w:rsidRPr="00736D5E">
        <w:rPr>
          <w:iCs/>
        </w:rPr>
        <w:fldChar w:fldCharType="end"/>
      </w:r>
      <w:r w:rsidR="00836BDD" w:rsidRPr="00736D5E">
        <w:rPr>
          <w:iCs/>
        </w:rPr>
        <w:t xml:space="preserve">, yet it has received </w:t>
      </w:r>
      <w:r w:rsidR="00856A22" w:rsidRPr="00736D5E">
        <w:rPr>
          <w:iCs/>
        </w:rPr>
        <w:t xml:space="preserve">much less attention than formal retirement planning activities such as </w:t>
      </w:r>
      <w:r w:rsidR="00FA02DE" w:rsidRPr="00736D5E">
        <w:rPr>
          <w:iCs/>
        </w:rPr>
        <w:t>attending financial seminars.</w:t>
      </w:r>
      <w:r w:rsidR="00836BDD" w:rsidRPr="00736D5E">
        <w:rPr>
          <w:iCs/>
        </w:rPr>
        <w:t xml:space="preserve"> </w:t>
      </w:r>
      <w:r w:rsidR="00FA02DE" w:rsidRPr="00736D5E">
        <w:t>A</w:t>
      </w:r>
      <w:r w:rsidR="001F02DD" w:rsidRPr="00736D5E">
        <w:t>nticipatory socialization for r</w:t>
      </w:r>
      <w:r w:rsidR="00B97A6D" w:rsidRPr="00736D5E">
        <w:t>etirement</w:t>
      </w:r>
      <w:r w:rsidR="008A2DA7" w:rsidRPr="00736D5E">
        <w:t>—</w:t>
      </w:r>
      <w:r w:rsidR="00C15559" w:rsidRPr="00736D5E">
        <w:t xml:space="preserve">also known as </w:t>
      </w:r>
      <w:r w:rsidR="00D059F7" w:rsidRPr="00736D5E">
        <w:t xml:space="preserve">informal retirement planning, </w:t>
      </w:r>
      <w:r w:rsidR="00C15559" w:rsidRPr="00736D5E">
        <w:t>self-preparation</w:t>
      </w:r>
      <w:r w:rsidR="00D059F7" w:rsidRPr="00736D5E">
        <w:t>,</w:t>
      </w:r>
      <w:r w:rsidR="00C15559" w:rsidRPr="00736D5E">
        <w:t xml:space="preserve"> and psychological planning</w:t>
      </w:r>
      <w:r w:rsidR="008A2DA7" w:rsidRPr="00736D5E">
        <w:t>—</w:t>
      </w:r>
      <w:r w:rsidR="00C15559" w:rsidRPr="00736D5E">
        <w:t>is</w:t>
      </w:r>
      <w:r w:rsidR="002E4F00" w:rsidRPr="00736D5E">
        <w:t xml:space="preserve"> </w:t>
      </w:r>
      <w:r w:rsidR="00836BDD" w:rsidRPr="00736D5E">
        <w:t xml:space="preserve">defined as </w:t>
      </w:r>
      <w:r w:rsidR="00B97A6D" w:rsidRPr="00736D5E">
        <w:t>the informal activities or behaviors in which an individual engages to prepare for retirement</w:t>
      </w:r>
      <w:r w:rsidR="00826FCC" w:rsidRPr="00736D5E">
        <w:t xml:space="preserve"> (</w:t>
      </w:r>
      <w:r w:rsidR="0047264E" w:rsidRPr="00736D5E">
        <w:t>Kim &amp; Moen, 2004</w:t>
      </w:r>
      <w:r w:rsidR="00826FCC" w:rsidRPr="00736D5E">
        <w:t>).</w:t>
      </w:r>
      <w:r w:rsidR="00836BDD" w:rsidRPr="00736D5E">
        <w:t xml:space="preserve"> </w:t>
      </w:r>
    </w:p>
    <w:p w:rsidR="00E843D2" w:rsidRPr="00736D5E" w:rsidRDefault="00836BDD" w:rsidP="001A7A7A">
      <w:pPr>
        <w:widowControl w:val="0"/>
        <w:spacing w:line="480" w:lineRule="auto"/>
        <w:ind w:firstLine="720"/>
        <w:rPr>
          <w:iCs/>
        </w:rPr>
      </w:pPr>
      <w:r w:rsidRPr="00736D5E">
        <w:t>Anticipatory socialization for retirement occurs through talking about retirement with friends and family, and increases the likelihood of other planning behaviors such as setting leisure and financial goals (Rosenkoetter &amp; Garris, 2001).</w:t>
      </w:r>
      <w:r w:rsidR="00826FCC" w:rsidRPr="00736D5E">
        <w:t xml:space="preserve"> </w:t>
      </w:r>
      <w:r w:rsidR="00E14EEC" w:rsidRPr="00736D5E">
        <w:t>In a depressed economy with diminishing investment portfolios, informal retirement planning becomes even more salient. Reduced resources may lead families to seek advice regarding retirement timing and to develop creative strategies for meeting financial needs during retirement (e.g., part-time employment). In this context, people may be more likely to seek advice from other retirees as well as co-workers, friends, and family</w:t>
      </w:r>
      <w:r w:rsidR="0084442A" w:rsidRPr="00736D5E">
        <w:t xml:space="preserve"> who </w:t>
      </w:r>
      <w:r w:rsidR="004A181E" w:rsidRPr="00736D5E">
        <w:t xml:space="preserve">can clarify expectations and provide information about the retirement experience and options for productive and social engagement, thereby easing the retirement transition. </w:t>
      </w:r>
    </w:p>
    <w:p w:rsidR="00715729" w:rsidRPr="00736D5E" w:rsidRDefault="002E4F00" w:rsidP="001A7A7A">
      <w:pPr>
        <w:widowControl w:val="0"/>
        <w:spacing w:line="480" w:lineRule="auto"/>
        <w:ind w:firstLine="720"/>
      </w:pPr>
      <w:r w:rsidRPr="00736D5E">
        <w:t>A</w:t>
      </w:r>
      <w:r w:rsidR="00826FCC" w:rsidRPr="00736D5E">
        <w:t xml:space="preserve">nticipatory socialization </w:t>
      </w:r>
      <w:r w:rsidR="00B97A6D" w:rsidRPr="00736D5E">
        <w:t>may assist in easing this major transition</w:t>
      </w:r>
      <w:r w:rsidR="002E3661" w:rsidRPr="00736D5E">
        <w:t xml:space="preserve"> but not all workers </w:t>
      </w:r>
      <w:r w:rsidR="00BF65B6" w:rsidRPr="00736D5E">
        <w:t>engage in planning</w:t>
      </w:r>
      <w:r w:rsidR="002E3661" w:rsidRPr="00736D5E">
        <w:t xml:space="preserve"> </w:t>
      </w:r>
      <w:r w:rsidR="00D51199" w:rsidRPr="00736D5E">
        <w:t>(</w:t>
      </w:r>
      <w:r w:rsidR="00856A22" w:rsidRPr="00736D5E">
        <w:rPr>
          <w:iCs/>
        </w:rPr>
        <w:t xml:space="preserve">Denton et al., 2004; </w:t>
      </w:r>
      <w:r w:rsidR="00BF65B6" w:rsidRPr="00736D5E">
        <w:rPr>
          <w:iCs/>
        </w:rPr>
        <w:t>Ekerdt</w:t>
      </w:r>
      <w:r w:rsidR="008A2DA7" w:rsidRPr="00736D5E">
        <w:rPr>
          <w:iCs/>
        </w:rPr>
        <w:t xml:space="preserve"> et al.</w:t>
      </w:r>
      <w:r w:rsidR="00BF65B6" w:rsidRPr="00736D5E">
        <w:rPr>
          <w:iCs/>
        </w:rPr>
        <w:t>, 2000</w:t>
      </w:r>
      <w:r w:rsidR="00D51199" w:rsidRPr="00736D5E">
        <w:t>)</w:t>
      </w:r>
      <w:r w:rsidR="001F02DD" w:rsidRPr="00736D5E">
        <w:t xml:space="preserve">. </w:t>
      </w:r>
      <w:r w:rsidR="00BF65B6" w:rsidRPr="00736D5E">
        <w:t>L</w:t>
      </w:r>
      <w:r w:rsidR="009E173A" w:rsidRPr="00736D5E">
        <w:t xml:space="preserve">ack of planning </w:t>
      </w:r>
      <w:r w:rsidR="00482750" w:rsidRPr="00736D5E">
        <w:t xml:space="preserve">is </w:t>
      </w:r>
      <w:r w:rsidR="00767901" w:rsidRPr="00736D5E">
        <w:t xml:space="preserve">of </w:t>
      </w:r>
      <w:r w:rsidR="00482750" w:rsidRPr="00736D5E">
        <w:t>concern because</w:t>
      </w:r>
      <w:r w:rsidR="00093829" w:rsidRPr="00736D5E">
        <w:t xml:space="preserve"> </w:t>
      </w:r>
      <w:r w:rsidR="00C959ED" w:rsidRPr="00736D5E">
        <w:t xml:space="preserve">those </w:t>
      </w:r>
      <w:r w:rsidR="00C959ED" w:rsidRPr="00736D5E">
        <w:rPr>
          <w:iCs/>
        </w:rPr>
        <w:t xml:space="preserve">individuals who </w:t>
      </w:r>
      <w:r w:rsidR="00767901" w:rsidRPr="00736D5E">
        <w:rPr>
          <w:iCs/>
        </w:rPr>
        <w:t xml:space="preserve">do not </w:t>
      </w:r>
      <w:r w:rsidR="00C959ED" w:rsidRPr="00736D5E">
        <w:rPr>
          <w:iCs/>
        </w:rPr>
        <w:t xml:space="preserve">plan for major life transitions </w:t>
      </w:r>
      <w:r w:rsidR="00BF65B6" w:rsidRPr="00736D5E">
        <w:rPr>
          <w:iCs/>
        </w:rPr>
        <w:t xml:space="preserve">tend to be </w:t>
      </w:r>
      <w:r w:rsidR="00767901" w:rsidRPr="00736D5E">
        <w:rPr>
          <w:iCs/>
        </w:rPr>
        <w:t>less</w:t>
      </w:r>
      <w:r w:rsidR="00C959ED" w:rsidRPr="00736D5E">
        <w:rPr>
          <w:iCs/>
        </w:rPr>
        <w:t xml:space="preserve"> successful in </w:t>
      </w:r>
      <w:r w:rsidR="00C959ED" w:rsidRPr="00736D5E">
        <w:rPr>
          <w:iCs/>
        </w:rPr>
        <w:lastRenderedPageBreak/>
        <w:t xml:space="preserve">adjusting to role changes </w:t>
      </w:r>
      <w:r w:rsidR="00DD774A" w:rsidRPr="00736D5E">
        <w:rPr>
          <w:iCs/>
        </w:rPr>
        <w:fldChar w:fldCharType="begin"/>
      </w:r>
      <w:r w:rsidR="00C959ED" w:rsidRPr="00736D5E">
        <w:rPr>
          <w:iCs/>
        </w:rPr>
        <w:instrText xml:space="preserve"> ADDIN EN.CITE &lt;EndNote&gt;&lt;Cite&gt;&lt;Author&gt;Feldman&lt;/Author&gt;&lt;Year&gt;1994&lt;/Year&gt;&lt;RecNum&gt;221&lt;/RecNum&gt;&lt;MDL&gt;&lt;REFERENCE_TYPE&gt;0&lt;/REFERENCE_TYPE&gt;&lt;AUTHORS&gt;&lt;AUTHOR&gt;Feldman, D. C.&lt;/AUTHOR&gt;&lt;/AUTHORS&gt;&lt;YEAR&gt;1994&lt;/YEAR&gt;&lt;TITLE&gt;The decision to retire early: A review and conceptualization&lt;/TITLE&gt;&lt;SECONDARY_TITLE&gt;Academy of Management Review&lt;/SECONDARY_TITLE&gt;&lt;VOLUME&gt;19&lt;/VOLUME&gt;&lt;PAGES&gt;285-311&lt;/PAGES&gt;&lt;/MDL&gt;&lt;/Cite&gt;&lt;Cite&gt;&lt;Author&gt;Mein&lt;/Author&gt;&lt;Year&gt;1998&lt;/Year&gt;&lt;RecNum&gt;7&lt;/RecNum&gt;&lt;MDL&gt;&lt;REFERENCE_TYPE&gt;0&lt;/REFERENCE_TYPE&gt;&lt;AUTHORS&gt;&lt;AUTHOR&gt;Mein, G. &lt;/AUTHOR&gt;&lt;AUTHOR&gt;Higgs, P. &lt;/AUTHOR&gt;&lt;AUTHOR&gt;Ferrie, J.&lt;/AUTHOR&gt;&lt;AUTHOR&gt;Stansfield, A.&lt;/AUTHOR&gt;&lt;/AUTHORS&gt;&lt;YEAR&gt;1998&lt;/YEAR&gt;&lt;TITLE&gt;Paradigms of retirement: The importance of health and ageing in the Whitehall II study&lt;/TITLE&gt;&lt;SECONDARY_TITLE&gt;Social Science and Medicine&lt;/SECONDARY_TITLE&gt;&lt;VOLUME&gt;47&lt;/VOLUME&gt;&lt;PAGES&gt;535-545&lt;/PAGES&gt;&lt;/MDL&gt;&lt;/Cite&gt;&lt;Cite&gt;&lt;Author&gt;Monk&lt;/Author&gt;&lt;Year&gt;1978&lt;/Year&gt;&lt;RecNum&gt;299&lt;/RecNum&gt;&lt;MDL&gt;&lt;REFERENCE_TYPE&gt;0&lt;/REFERENCE_TYPE&gt;&lt;AUTHORS&gt;&lt;AUTHOR&gt;Monk, A.&lt;/AUTHOR&gt;&lt;AUTHOR&gt;Donovan, R.&lt;/AUTHOR&gt;&lt;/AUTHORS&gt;&lt;YEAR&gt;1978&lt;/YEAR&gt;&lt;TITLE&gt;Pre-retirement preparation programs&lt;/TITLE&gt;&lt;SECONDARY_TITLE&gt;Aged care and services review&lt;/SECONDARY_TITLE&gt;&lt;VOLUME&gt;1&lt;/VOLUME&gt;&lt;PAGES&gt;1-7&lt;/PAGES&gt;&lt;/MDL&gt;&lt;/Cite&gt;&lt;Cite&gt;&lt;Author&gt;Schlossberg&lt;/Author&gt;&lt;Year&gt;1981&lt;/Year&gt;&lt;RecNum&gt;52&lt;/RecNum&gt;&lt;MDL&gt;&lt;REFERENCE_TYPE&gt;0&lt;/REFERENCE_TYPE&gt;&lt;AUTHORS&gt;&lt;AUTHOR&gt;Schlossberg, N. K.&lt;/AUTHOR&gt;&lt;/AUTHORS&gt;&lt;YEAR&gt;1981&lt;/YEAR&gt;&lt;TITLE&gt;A model for analyzing human adaptation to transition&lt;/TITLE&gt;&lt;SECONDARY_TITLE&gt;The Counseling Psychologist&lt;/SECONDARY_TITLE&gt;&lt;VOLUME&gt;9&lt;/VOLUME&gt;&lt;PAGES&gt;2-18&lt;/PAGES&gt;&lt;/MDL&gt;&lt;/Cite&gt;&lt;Cite&gt;&lt;Author&gt;Seibert&lt;/Author&gt;&lt;Year&gt;1986&lt;/Year&gt;&lt;RecNum&gt;51&lt;/RecNum&gt;&lt;MDL&gt;&lt;REFERENCE_TYPE&gt;0&lt;/REFERENCE_TYPE&gt;&lt;AUTHORS&gt;&lt;AUTHOR&gt;Seibert, E. F.&lt;/AUTHOR&gt;&lt;AUTHOR&gt;Seibert, J.&lt;/AUTHOR&gt;&lt;/AUTHORS&gt;&lt;YEAR&gt;1986&lt;/YEAR&gt;&lt;TITLE&gt;Retirement: Crisis or opportunity&lt;/TITLE&gt;&lt;SECONDARY_TITLE&gt;Personal Administrator&lt;/SECONDARY_TITLE&gt;&lt;VOLUME&gt;31&lt;/VOLUME&gt;&lt;PAGES&gt;43-49&lt;/PAGES&gt;&lt;/MDL&gt;&lt;/Cite&gt;&lt;/EndNote&gt;</w:instrText>
      </w:r>
      <w:r w:rsidR="00DD774A" w:rsidRPr="00736D5E">
        <w:rPr>
          <w:iCs/>
        </w:rPr>
        <w:fldChar w:fldCharType="separate"/>
      </w:r>
      <w:r w:rsidR="00C959ED" w:rsidRPr="00736D5E">
        <w:rPr>
          <w:iCs/>
        </w:rPr>
        <w:t>(</w:t>
      </w:r>
      <w:r w:rsidR="00C959ED" w:rsidRPr="00736D5E">
        <w:t>Mein</w:t>
      </w:r>
      <w:r w:rsidR="0017107D" w:rsidRPr="00736D5E">
        <w:t>, Higgs, Ferrie &amp; Stansfield</w:t>
      </w:r>
      <w:r w:rsidR="00C27BC0" w:rsidRPr="00736D5E">
        <w:t>,</w:t>
      </w:r>
      <w:r w:rsidR="00C959ED" w:rsidRPr="00736D5E">
        <w:t xml:space="preserve"> 1998</w:t>
      </w:r>
      <w:r w:rsidR="00C959ED" w:rsidRPr="00736D5E">
        <w:rPr>
          <w:iCs/>
        </w:rPr>
        <w:t>)</w:t>
      </w:r>
      <w:r w:rsidR="00DD774A" w:rsidRPr="00736D5E">
        <w:rPr>
          <w:iCs/>
        </w:rPr>
        <w:fldChar w:fldCharType="end"/>
      </w:r>
      <w:r w:rsidR="00D11EE2" w:rsidRPr="00736D5E">
        <w:rPr>
          <w:iCs/>
        </w:rPr>
        <w:t>.</w:t>
      </w:r>
      <w:r w:rsidR="00715729" w:rsidRPr="00736D5E">
        <w:rPr>
          <w:iCs/>
        </w:rPr>
        <w:t xml:space="preserve"> </w:t>
      </w:r>
      <w:r w:rsidR="00D11EE2" w:rsidRPr="00736D5E">
        <w:rPr>
          <w:iCs/>
        </w:rPr>
        <w:t xml:space="preserve">Conversely, </w:t>
      </w:r>
      <w:r w:rsidR="001032F7" w:rsidRPr="00736D5E">
        <w:rPr>
          <w:iCs/>
        </w:rPr>
        <w:t xml:space="preserve"> </w:t>
      </w:r>
      <w:r w:rsidR="0047264E" w:rsidRPr="00736D5E">
        <w:rPr>
          <w:iCs/>
        </w:rPr>
        <w:t xml:space="preserve">informal </w:t>
      </w:r>
      <w:r w:rsidR="008F7418" w:rsidRPr="00736D5E">
        <w:rPr>
          <w:iCs/>
        </w:rPr>
        <w:t>r</w:t>
      </w:r>
      <w:r w:rsidR="00C959ED" w:rsidRPr="00736D5E">
        <w:t xml:space="preserve">etirement planning </w:t>
      </w:r>
      <w:r w:rsidR="00D11EE2" w:rsidRPr="00736D5E">
        <w:t xml:space="preserve">(i.e., anticipatory socialization) </w:t>
      </w:r>
      <w:r w:rsidR="008F7418" w:rsidRPr="00736D5E">
        <w:t xml:space="preserve">predicts better </w:t>
      </w:r>
      <w:r w:rsidR="00C959ED" w:rsidRPr="00736D5E">
        <w:t>retirement outcomes such as</w:t>
      </w:r>
      <w:r w:rsidR="00AB1B9A" w:rsidRPr="00736D5E">
        <w:t xml:space="preserve"> </w:t>
      </w:r>
      <w:r w:rsidR="00C959ED" w:rsidRPr="00736D5E">
        <w:t xml:space="preserve">adjustment </w:t>
      </w:r>
      <w:r w:rsidR="005B506B" w:rsidRPr="00736D5E">
        <w:t>and</w:t>
      </w:r>
      <w:r w:rsidR="00C959ED" w:rsidRPr="00736D5E">
        <w:t xml:space="preserve"> </w:t>
      </w:r>
      <w:r w:rsidR="0047264E" w:rsidRPr="00736D5E">
        <w:t>satisfaction</w:t>
      </w:r>
      <w:r w:rsidR="00C959ED" w:rsidRPr="00736D5E">
        <w:t xml:space="preserve"> </w:t>
      </w:r>
      <w:r w:rsidR="00DD774A" w:rsidRPr="00736D5E">
        <w:rPr>
          <w:color w:val="000000"/>
        </w:rPr>
        <w:fldChar w:fldCharType="begin"/>
      </w:r>
      <w:r w:rsidR="00C959ED" w:rsidRPr="00736D5E">
        <w:rPr>
          <w:color w:val="000000"/>
        </w:rPr>
        <w:instrText xml:space="preserve"> ADDIN EN.CITE &lt;EndNote&gt;&lt;Cite&gt;&lt;Author&gt;Anderson&lt;/Author&gt;&lt;Year&gt;1993&lt;/Year&gt;&lt;RecNum&gt;46&lt;/RecNum&gt;&lt;MDL&gt;&lt;REFERENCE_TYPE&gt;0&lt;/REFERENCE_TYPE&gt;&lt;AUTHORS&gt;&lt;AUTHOR&gt;Anderson, C.&lt;/AUTHOR&gt;&lt;AUTHOR&gt;Weber, J&lt;/AUTHOR&gt;&lt;/AUTHORS&gt;&lt;YEAR&gt;1993&lt;/YEAR&gt;&lt;TITLE&gt;Preretirement planning and perceptions of satisfaction among retirees&lt;/TITLE&gt;&lt;SECONDARY_TITLE&gt;Educational Gerontology&lt;/SECONDARY_TITLE&gt;&lt;VOLUME&gt;19&lt;/VOLUME&gt;&lt;PAGES&gt;397-406&lt;/PAGES&gt;&lt;/MDL&gt;&lt;/Cite&gt;&lt;Cite&gt;&lt;Author&gt;Lo&lt;/Author&gt;&lt;Year&gt;1999&lt;/Year&gt;&lt;RecNum&gt;79&lt;/RecNum&gt;&lt;MDL&gt;&lt;REFERENCE_TYPE&gt;0&lt;/REFERENCE_TYPE&gt;&lt;AUTHORS&gt;&lt;AUTHOR&gt;Lo, R.&lt;/AUTHOR&gt;&lt;AUTHOR&gt;Brown, R.&lt;/AUTHOR&gt;&lt;/AUTHORS&gt;&lt;YEAR&gt;1999&lt;/YEAR&gt;&lt;TITLE&gt;Stress and adaptation: Preparation for successful retirement&lt;/TITLE&gt;&lt;SECONDARY_TITLE&gt;Australian and New Zealand Journal of Mental Health Nursing&lt;/SECONDARY_TITLE&gt;&lt;VOLUME&gt;8&lt;/VOLUME&gt;&lt;PAGES&gt;30-38&lt;/PAGES&gt;&lt;/MDL&gt;&lt;/Cite&gt;&lt;Cite&gt;&lt;Author&gt;Rosenkoetter&lt;/Author&gt;&lt;Year&gt;1998&lt;/Year&gt;&lt;RecNum&gt;13&lt;/RecNum&gt;&lt;MDL&gt;&lt;REFERENCE_TYPE&gt;0&lt;/REFERENCE_TYPE&gt;&lt;AUTHORS&gt;&lt;AUTHOR&gt;Rosenkoetter, M. M.&lt;/AUTHOR&gt;&lt;AUTHOR&gt;Garris, J. M.&lt;/AUTHOR&gt;&lt;/AUTHORS&gt;&lt;YEAR&gt;1998&lt;/YEAR&gt;&lt;TITLE&gt;Psychosocial changes following retirement&lt;/TITLE&gt;&lt;SECONDARY_TITLE&gt;Journal of Advanced Nursing&lt;/SECONDARY_TITLE&gt;&lt;VOLUME&gt;27&lt;/VOLUME&gt;&lt;PAGES&gt;966-976&lt;/PAGES&gt;&lt;/MDL&gt;&lt;/Cite&gt;&lt;/EndNote&gt;</w:instrText>
      </w:r>
      <w:r w:rsidR="00DD774A" w:rsidRPr="00736D5E">
        <w:rPr>
          <w:color w:val="000000"/>
        </w:rPr>
        <w:fldChar w:fldCharType="separate"/>
      </w:r>
      <w:r w:rsidR="00C959ED" w:rsidRPr="00736D5E">
        <w:rPr>
          <w:color w:val="000000"/>
        </w:rPr>
        <w:t>(</w:t>
      </w:r>
      <w:r w:rsidR="00680977" w:rsidRPr="00736D5E">
        <w:rPr>
          <w:color w:val="000000"/>
        </w:rPr>
        <w:t xml:space="preserve">Elder &amp; Rudolph, 1999; </w:t>
      </w:r>
      <w:r w:rsidR="00C959ED" w:rsidRPr="00736D5E">
        <w:rPr>
          <w:color w:val="000000"/>
        </w:rPr>
        <w:t xml:space="preserve">Rosenkoetter </w:t>
      </w:r>
      <w:r w:rsidR="00C27BC0" w:rsidRPr="00736D5E">
        <w:rPr>
          <w:color w:val="000000"/>
        </w:rPr>
        <w:t xml:space="preserve">&amp; </w:t>
      </w:r>
      <w:r w:rsidR="00C959ED" w:rsidRPr="00736D5E">
        <w:rPr>
          <w:color w:val="000000"/>
        </w:rPr>
        <w:t>Garris</w:t>
      </w:r>
      <w:r w:rsidR="00C27BC0" w:rsidRPr="00736D5E">
        <w:rPr>
          <w:color w:val="000000"/>
        </w:rPr>
        <w:t>,</w:t>
      </w:r>
      <w:r w:rsidR="00C959ED" w:rsidRPr="00736D5E">
        <w:rPr>
          <w:color w:val="000000"/>
        </w:rPr>
        <w:t xml:space="preserve"> 1998)</w:t>
      </w:r>
      <w:r w:rsidR="00DD774A" w:rsidRPr="00736D5E">
        <w:rPr>
          <w:color w:val="000000"/>
        </w:rPr>
        <w:fldChar w:fldCharType="end"/>
      </w:r>
      <w:r w:rsidR="008F7418" w:rsidRPr="00736D5E">
        <w:rPr>
          <w:color w:val="000000"/>
        </w:rPr>
        <w:t>.</w:t>
      </w:r>
      <w:r w:rsidR="00AB1B9A" w:rsidRPr="00736D5E">
        <w:rPr>
          <w:color w:val="000000"/>
        </w:rPr>
        <w:t xml:space="preserve"> </w:t>
      </w:r>
      <w:r w:rsidR="00663F23" w:rsidRPr="00736D5E">
        <w:rPr>
          <w:color w:val="000000"/>
        </w:rPr>
        <w:t>Informal</w:t>
      </w:r>
      <w:r w:rsidR="008F7418" w:rsidRPr="00736D5E">
        <w:rPr>
          <w:color w:val="000000"/>
        </w:rPr>
        <w:t xml:space="preserve"> </w:t>
      </w:r>
      <w:r w:rsidR="0090613F" w:rsidRPr="00736D5E">
        <w:rPr>
          <w:color w:val="000000"/>
        </w:rPr>
        <w:t xml:space="preserve">retirement planning is </w:t>
      </w:r>
      <w:r w:rsidR="00D11EE2" w:rsidRPr="00736D5E">
        <w:rPr>
          <w:color w:val="000000"/>
        </w:rPr>
        <w:t xml:space="preserve">also </w:t>
      </w:r>
      <w:r w:rsidR="008F7418" w:rsidRPr="00736D5E">
        <w:rPr>
          <w:color w:val="000000"/>
        </w:rPr>
        <w:t>importan</w:t>
      </w:r>
      <w:r w:rsidR="00B41F6D" w:rsidRPr="00736D5E">
        <w:rPr>
          <w:color w:val="000000"/>
        </w:rPr>
        <w:t>t</w:t>
      </w:r>
      <w:r w:rsidR="008F7418" w:rsidRPr="00736D5E">
        <w:rPr>
          <w:color w:val="000000"/>
        </w:rPr>
        <w:t xml:space="preserve"> because </w:t>
      </w:r>
      <w:r w:rsidR="0090613F" w:rsidRPr="00736D5E">
        <w:rPr>
          <w:color w:val="000000"/>
        </w:rPr>
        <w:t>individuals are living longer</w:t>
      </w:r>
      <w:r w:rsidR="001F02DD" w:rsidRPr="00736D5E">
        <w:rPr>
          <w:color w:val="000000"/>
        </w:rPr>
        <w:t xml:space="preserve">. </w:t>
      </w:r>
      <w:r w:rsidR="0090613F" w:rsidRPr="00736D5E">
        <w:rPr>
          <w:color w:val="000000"/>
        </w:rPr>
        <w:t>I</w:t>
      </w:r>
      <w:r w:rsidR="001A21F7" w:rsidRPr="00736D5E">
        <w:rPr>
          <w:color w:val="000000"/>
        </w:rPr>
        <w:t xml:space="preserve">n </w:t>
      </w:r>
      <w:r w:rsidR="0017107D" w:rsidRPr="00736D5E">
        <w:rPr>
          <w:color w:val="000000"/>
        </w:rPr>
        <w:t>2010</w:t>
      </w:r>
      <w:r w:rsidR="001A21F7" w:rsidRPr="00736D5E">
        <w:rPr>
          <w:color w:val="000000"/>
        </w:rPr>
        <w:t>, most people who reach</w:t>
      </w:r>
      <w:r w:rsidR="00EB1337" w:rsidRPr="00736D5E">
        <w:rPr>
          <w:color w:val="000000"/>
        </w:rPr>
        <w:t>ed</w:t>
      </w:r>
      <w:r w:rsidR="001A21F7" w:rsidRPr="00736D5E">
        <w:rPr>
          <w:color w:val="000000"/>
        </w:rPr>
        <w:t xml:space="preserve"> the age of 65 c</w:t>
      </w:r>
      <w:r w:rsidR="00EB1337" w:rsidRPr="00736D5E">
        <w:rPr>
          <w:color w:val="000000"/>
        </w:rPr>
        <w:t>ould</w:t>
      </w:r>
      <w:r w:rsidR="001A21F7" w:rsidRPr="00736D5E">
        <w:rPr>
          <w:color w:val="000000"/>
        </w:rPr>
        <w:t xml:space="preserve"> expect t</w:t>
      </w:r>
      <w:r w:rsidR="001A21F7" w:rsidRPr="00736D5E">
        <w:t>o live for another 1</w:t>
      </w:r>
      <w:r w:rsidR="00C316C8" w:rsidRPr="00736D5E">
        <w:t>8.</w:t>
      </w:r>
      <w:r w:rsidR="0017107D" w:rsidRPr="00736D5E">
        <w:t xml:space="preserve">6 </w:t>
      </w:r>
      <w:r w:rsidR="001A21F7" w:rsidRPr="00736D5E">
        <w:t xml:space="preserve">years </w:t>
      </w:r>
      <w:r w:rsidR="00492EA7" w:rsidRPr="00736D5E">
        <w:t xml:space="preserve">on average </w:t>
      </w:r>
      <w:r w:rsidR="001A21F7" w:rsidRPr="00736D5E">
        <w:t>(</w:t>
      </w:r>
      <w:r w:rsidR="008F7418" w:rsidRPr="00736D5E">
        <w:t xml:space="preserve">Administration on Aging, </w:t>
      </w:r>
      <w:r w:rsidR="00D45E78" w:rsidRPr="00736D5E">
        <w:t>20</w:t>
      </w:r>
      <w:r w:rsidR="0017107D" w:rsidRPr="00736D5E">
        <w:t>11</w:t>
      </w:r>
      <w:r w:rsidR="008F7418" w:rsidRPr="00736D5E">
        <w:t xml:space="preserve">). </w:t>
      </w:r>
      <w:r w:rsidR="00C25A4C" w:rsidRPr="00736D5E">
        <w:t>Because</w:t>
      </w:r>
      <w:r w:rsidR="001A21F7" w:rsidRPr="00736D5E">
        <w:t xml:space="preserve"> retirement of</w:t>
      </w:r>
      <w:r w:rsidR="006A02CE" w:rsidRPr="00736D5E">
        <w:t>ten occurs around the age of 6</w:t>
      </w:r>
      <w:r w:rsidR="00C25A4C" w:rsidRPr="00736D5E">
        <w:t>2 for both men and women (Gendell, 2001)</w:t>
      </w:r>
      <w:r w:rsidR="001A21F7" w:rsidRPr="00736D5E">
        <w:t xml:space="preserve">, </w:t>
      </w:r>
      <w:r w:rsidR="005803FA" w:rsidRPr="00736D5E">
        <w:t>many</w:t>
      </w:r>
      <w:r w:rsidR="00C25A4C" w:rsidRPr="00736D5E">
        <w:t xml:space="preserve"> spend more than 20 years </w:t>
      </w:r>
      <w:r w:rsidR="001A21F7" w:rsidRPr="00736D5E">
        <w:t xml:space="preserve">in retirement. </w:t>
      </w:r>
      <w:r w:rsidR="00EB1337" w:rsidRPr="00736D5E">
        <w:t xml:space="preserve">Thus, a lack of planning for this extended life phase could </w:t>
      </w:r>
      <w:r w:rsidR="003600B6" w:rsidRPr="00736D5E">
        <w:t xml:space="preserve">result in </w:t>
      </w:r>
      <w:r w:rsidR="00EB1337" w:rsidRPr="00736D5E">
        <w:t xml:space="preserve">negative </w:t>
      </w:r>
      <w:r w:rsidR="00663F23" w:rsidRPr="00736D5E">
        <w:t xml:space="preserve">leisure, </w:t>
      </w:r>
      <w:r w:rsidR="00EB1337" w:rsidRPr="00736D5E">
        <w:t>financial, health, and social outcomes.</w:t>
      </w:r>
    </w:p>
    <w:p w:rsidR="005D5509" w:rsidRPr="00736D5E" w:rsidRDefault="00433466" w:rsidP="001A7A7A">
      <w:pPr>
        <w:widowControl w:val="0"/>
        <w:spacing w:line="480" w:lineRule="auto"/>
        <w:ind w:firstLine="720"/>
      </w:pPr>
      <w:r w:rsidRPr="00736D5E">
        <w:t xml:space="preserve">For married individuals, retirement of one spouse can affect the </w:t>
      </w:r>
      <w:r w:rsidR="00E468CA" w:rsidRPr="00736D5E">
        <w:t xml:space="preserve">lives </w:t>
      </w:r>
      <w:r w:rsidRPr="00736D5E">
        <w:t>of both spouses (e.g., household income, household routines and schedules, marital satisfaction, health insurance coverage). While r</w:t>
      </w:r>
      <w:r w:rsidR="00AB2544" w:rsidRPr="00736D5E">
        <w:t>etirement planning is often thought of as a</w:t>
      </w:r>
      <w:r w:rsidR="00715729" w:rsidRPr="00736D5E">
        <w:t>n</w:t>
      </w:r>
      <w:r w:rsidR="00AB2544" w:rsidRPr="00736D5E">
        <w:t xml:space="preserve"> individual effort</w:t>
      </w:r>
      <w:r w:rsidRPr="00736D5E">
        <w:t xml:space="preserve">, </w:t>
      </w:r>
      <w:r w:rsidR="00AB2544" w:rsidRPr="00736D5E">
        <w:t xml:space="preserve"> </w:t>
      </w:r>
      <w:r w:rsidR="009B1837" w:rsidRPr="00736D5E">
        <w:t xml:space="preserve">couples have been found to influence one another in retirement planning. Moen and Altobelli (2006) found that 62% of married respondents discussed retirement with their spouse and </w:t>
      </w:r>
      <w:r w:rsidR="009B1837" w:rsidRPr="00736D5E">
        <w:rPr>
          <w:color w:val="000000" w:themeColor="text1"/>
        </w:rPr>
        <w:t>Ho and Raymo (200</w:t>
      </w:r>
      <w:r w:rsidR="006C3588" w:rsidRPr="00736D5E">
        <w:rPr>
          <w:color w:val="000000" w:themeColor="text1"/>
        </w:rPr>
        <w:t>9</w:t>
      </w:r>
      <w:r w:rsidR="009B1837" w:rsidRPr="00736D5E">
        <w:rPr>
          <w:color w:val="000000" w:themeColor="text1"/>
        </w:rPr>
        <w:t xml:space="preserve">) </w:t>
      </w:r>
      <w:r w:rsidR="002228DB" w:rsidRPr="00736D5E">
        <w:t xml:space="preserve">found that </w:t>
      </w:r>
      <w:r w:rsidR="009B1837" w:rsidRPr="00736D5E">
        <w:rPr>
          <w:color w:val="000000"/>
        </w:rPr>
        <w:t xml:space="preserve">discussions about retirement between spouses </w:t>
      </w:r>
      <w:r w:rsidR="002228DB" w:rsidRPr="00736D5E">
        <w:rPr>
          <w:color w:val="000000"/>
        </w:rPr>
        <w:t>w</w:t>
      </w:r>
      <w:r w:rsidR="009B1837" w:rsidRPr="00736D5E">
        <w:rPr>
          <w:color w:val="000000"/>
        </w:rPr>
        <w:t xml:space="preserve">as </w:t>
      </w:r>
      <w:r w:rsidR="002228DB" w:rsidRPr="00736D5E">
        <w:rPr>
          <w:color w:val="000000"/>
        </w:rPr>
        <w:t>associated</w:t>
      </w:r>
      <w:r w:rsidR="009B1837" w:rsidRPr="00736D5E">
        <w:rPr>
          <w:color w:val="000000"/>
        </w:rPr>
        <w:t xml:space="preserve"> with realizing joint retirement expectations</w:t>
      </w:r>
      <w:r w:rsidR="009B1837" w:rsidRPr="00736D5E">
        <w:t xml:space="preserve">. </w:t>
      </w:r>
      <w:r w:rsidR="002228DB" w:rsidRPr="00736D5E">
        <w:rPr>
          <w:color w:val="000000"/>
        </w:rPr>
        <w:t xml:space="preserve">Additionally, </w:t>
      </w:r>
      <w:r w:rsidR="002228DB" w:rsidRPr="00736D5E">
        <w:t xml:space="preserve">Mock and Cornelius (2007) found that couples were interdependent in their retirement financial planning and that planning for one’s lifestyle in retirement was significantly associated with relationship satisfaction. </w:t>
      </w:r>
    </w:p>
    <w:p w:rsidR="009B1837" w:rsidRPr="00736D5E" w:rsidRDefault="009B1837" w:rsidP="001A7A7A">
      <w:pPr>
        <w:widowControl w:val="0"/>
        <w:spacing w:line="480" w:lineRule="auto"/>
        <w:ind w:firstLine="720"/>
      </w:pPr>
      <w:r w:rsidRPr="00736D5E">
        <w:t xml:space="preserve">Moen, Huang, Plassmann, and Dentinger (2006) examined the retirement planning of dual-earner couples and found that although spouses’ level of planning is positively related, there is a gender difference. Specifically, husbands’ planning positively influences wives’ planning; however, the reverse relationship was not found. Jacobs-Lawson, Hershey, and Neukam (2004) also found a gender difference: women spend less time thinking about retirement than do men. </w:t>
      </w:r>
      <w:r w:rsidR="008114D7" w:rsidRPr="00736D5E">
        <w:t xml:space="preserve">Curl and Townsend (2008) found that men are more likely than women to transition from the </w:t>
      </w:r>
      <w:r w:rsidR="008114D7" w:rsidRPr="00736D5E">
        <w:lastRenderedPageBreak/>
        <w:t xml:space="preserve">work role to complete retirement. </w:t>
      </w:r>
      <w:r w:rsidR="005D5509" w:rsidRPr="00736D5E">
        <w:t>Two explanations for th</w:t>
      </w:r>
      <w:r w:rsidR="00A316DA" w:rsidRPr="00736D5E">
        <w:t>ese</w:t>
      </w:r>
      <w:r w:rsidR="005D5509" w:rsidRPr="00736D5E">
        <w:t xml:space="preserve"> finding</w:t>
      </w:r>
      <w:r w:rsidR="00A316DA" w:rsidRPr="00736D5E">
        <w:t>s</w:t>
      </w:r>
      <w:r w:rsidR="005D5509" w:rsidRPr="00736D5E">
        <w:t xml:space="preserve"> </w:t>
      </w:r>
      <w:r w:rsidR="00A316DA" w:rsidRPr="00736D5E">
        <w:t xml:space="preserve">could be </w:t>
      </w:r>
      <w:r w:rsidR="005D5509" w:rsidRPr="00736D5E">
        <w:t xml:space="preserve">that retirement planning has historically been </w:t>
      </w:r>
      <w:r w:rsidR="0016760C" w:rsidRPr="00736D5E">
        <w:t xml:space="preserve">in the male domain, or that women, due to their ongoing family </w:t>
      </w:r>
      <w:r w:rsidR="008114D7" w:rsidRPr="00736D5E">
        <w:t xml:space="preserve">role </w:t>
      </w:r>
      <w:r w:rsidR="0016760C" w:rsidRPr="00736D5E">
        <w:t xml:space="preserve">obligations, </w:t>
      </w:r>
      <w:r w:rsidR="009F08FC" w:rsidRPr="00736D5E">
        <w:t xml:space="preserve">hold different attitudes toward </w:t>
      </w:r>
      <w:r w:rsidR="0016760C" w:rsidRPr="00736D5E">
        <w:t>retirement</w:t>
      </w:r>
      <w:r w:rsidR="009F08FC" w:rsidRPr="00736D5E">
        <w:t xml:space="preserve"> than do men</w:t>
      </w:r>
      <w:r w:rsidR="000116F8" w:rsidRPr="00736D5E">
        <w:t>.</w:t>
      </w:r>
      <w:r w:rsidR="009F08FC" w:rsidRPr="00736D5E">
        <w:t xml:space="preserve"> </w:t>
      </w:r>
    </w:p>
    <w:p w:rsidR="00981F9E" w:rsidRPr="00736D5E" w:rsidRDefault="00981F9E" w:rsidP="001A7A7A">
      <w:pPr>
        <w:widowControl w:val="0"/>
        <w:spacing w:line="480" w:lineRule="auto"/>
        <w:outlineLvl w:val="0"/>
        <w:rPr>
          <w:i/>
        </w:rPr>
      </w:pPr>
      <w:r w:rsidRPr="00736D5E">
        <w:rPr>
          <w:i/>
        </w:rPr>
        <w:t>Theoretical Orientation</w:t>
      </w:r>
    </w:p>
    <w:p w:rsidR="008413E0" w:rsidRPr="00736D5E" w:rsidRDefault="00981F9E" w:rsidP="001A7A7A">
      <w:pPr>
        <w:widowControl w:val="0"/>
        <w:spacing w:line="480" w:lineRule="auto"/>
        <w:ind w:firstLine="720"/>
      </w:pPr>
      <w:r w:rsidRPr="00736D5E">
        <w:t>Role theory (</w:t>
      </w:r>
      <w:r w:rsidR="00932CCF" w:rsidRPr="00736D5E">
        <w:t>Merton, 1966</w:t>
      </w:r>
      <w:r w:rsidRPr="00736D5E">
        <w:t xml:space="preserve">), widely used to examine human behavior, has often been used to describe the transition from work to retirement (Kim &amp; Moen, 2002). </w:t>
      </w:r>
      <w:r w:rsidR="00932CCF" w:rsidRPr="00736D5E">
        <w:t>Anticipatory socialization is a</w:t>
      </w:r>
      <w:r w:rsidR="009833A3" w:rsidRPr="00736D5E">
        <w:t xml:space="preserve"> role theory concept </w:t>
      </w:r>
      <w:r w:rsidR="00932CCF" w:rsidRPr="00736D5E">
        <w:t>that describes the process that occurs prior to role transitions and which assists in that transition by helping individuals learn the norms for the new role (</w:t>
      </w:r>
      <w:r w:rsidR="009833A3" w:rsidRPr="00736D5E">
        <w:t xml:space="preserve">Merton, </w:t>
      </w:r>
      <w:r w:rsidR="00932CCF" w:rsidRPr="00736D5E">
        <w:t>1966</w:t>
      </w:r>
      <w:r w:rsidR="009833A3" w:rsidRPr="00736D5E">
        <w:t>). I</w:t>
      </w:r>
      <w:r w:rsidRPr="00736D5E">
        <w:t xml:space="preserve">ndividuals who plan for retirement are more likely to possess a clearer understanding of and the expectations associated with their future role </w:t>
      </w:r>
      <w:r w:rsidR="00492EA7" w:rsidRPr="00736D5E">
        <w:t xml:space="preserve">as a </w:t>
      </w:r>
      <w:r w:rsidRPr="00736D5E">
        <w:t xml:space="preserve">retiree and therefore </w:t>
      </w:r>
      <w:r w:rsidR="009833A3" w:rsidRPr="00736D5E">
        <w:t xml:space="preserve">may experience more positive psychosocial outcomes when </w:t>
      </w:r>
      <w:r w:rsidRPr="00736D5E">
        <w:t xml:space="preserve">transitioning into this role than those who fail to plan. Hence, role theory is a viable and rational </w:t>
      </w:r>
      <w:r w:rsidR="00492EA7" w:rsidRPr="00736D5E">
        <w:t xml:space="preserve">theory to use when evaluating </w:t>
      </w:r>
      <w:r w:rsidRPr="00736D5E">
        <w:t>retirement planning.</w:t>
      </w:r>
    </w:p>
    <w:p w:rsidR="007F4EE1" w:rsidRPr="00736D5E" w:rsidRDefault="002E0913" w:rsidP="001A7A7A">
      <w:pPr>
        <w:widowControl w:val="0"/>
        <w:spacing w:line="480" w:lineRule="auto"/>
        <w:ind w:firstLine="720"/>
      </w:pPr>
      <w:r w:rsidRPr="00736D5E">
        <w:t>This study also relies on the social stratification theory (</w:t>
      </w:r>
      <w:r w:rsidR="00455A5C" w:rsidRPr="00736D5E">
        <w:rPr>
          <w:rStyle w:val="addmd"/>
        </w:rPr>
        <w:t>Grusky</w:t>
      </w:r>
      <w:r w:rsidR="00CB70BD" w:rsidRPr="00736D5E">
        <w:rPr>
          <w:rStyle w:val="addmd"/>
        </w:rPr>
        <w:t xml:space="preserve"> &amp; Ku</w:t>
      </w:r>
      <w:r w:rsidR="00455A5C" w:rsidRPr="00736D5E">
        <w:rPr>
          <w:rStyle w:val="addmd"/>
        </w:rPr>
        <w:t>, 200</w:t>
      </w:r>
      <w:r w:rsidR="00CB70BD" w:rsidRPr="00736D5E">
        <w:rPr>
          <w:rStyle w:val="addmd"/>
        </w:rPr>
        <w:t>8</w:t>
      </w:r>
      <w:r w:rsidR="00455A5C" w:rsidRPr="00736D5E">
        <w:rPr>
          <w:rStyle w:val="addmd"/>
        </w:rPr>
        <w:t xml:space="preserve">; </w:t>
      </w:r>
      <w:r w:rsidR="00DA7EEC" w:rsidRPr="00736D5E">
        <w:rPr>
          <w:rStyle w:val="addmd"/>
        </w:rPr>
        <w:t>Kail, Quadagno, &amp; Keene, 2009</w:t>
      </w:r>
      <w:r w:rsidR="00455A5C" w:rsidRPr="00736D5E">
        <w:rPr>
          <w:rStyle w:val="addmd"/>
        </w:rPr>
        <w:t xml:space="preserve">; </w:t>
      </w:r>
      <w:r w:rsidRPr="00736D5E">
        <w:t xml:space="preserve">O’Rand, 2001), which suggests that society is stratified on the basis of factors such as gender, age, race, income, education, and occupation, and that one’s position in the social hierarchy results in differential access to desired resources (e.g., well-paying jobs). </w:t>
      </w:r>
      <w:r w:rsidR="00977932" w:rsidRPr="00736D5E">
        <w:t>D</w:t>
      </w:r>
      <w:r w:rsidR="001A1F40" w:rsidRPr="00736D5E">
        <w:t xml:space="preserve">ifferential access </w:t>
      </w:r>
      <w:r w:rsidR="00977932" w:rsidRPr="00736D5E">
        <w:t xml:space="preserve">can </w:t>
      </w:r>
      <w:r w:rsidR="001A1F40" w:rsidRPr="00736D5E">
        <w:t>result in d</w:t>
      </w:r>
      <w:r w:rsidR="00E912C3" w:rsidRPr="00736D5E">
        <w:t xml:space="preserve">isparities and advantages </w:t>
      </w:r>
      <w:r w:rsidR="00977932" w:rsidRPr="00736D5E">
        <w:t xml:space="preserve">that </w:t>
      </w:r>
      <w:r w:rsidR="00E912C3" w:rsidRPr="00736D5E">
        <w:t xml:space="preserve">accumulate over the life course </w:t>
      </w:r>
      <w:r w:rsidR="001A1F40" w:rsidRPr="00736D5E">
        <w:t xml:space="preserve">and </w:t>
      </w:r>
      <w:r w:rsidR="00E912C3" w:rsidRPr="00736D5E">
        <w:t xml:space="preserve">shape both work and retirement experiences. </w:t>
      </w:r>
      <w:r w:rsidRPr="00736D5E">
        <w:t xml:space="preserve">For example, </w:t>
      </w:r>
      <w:r w:rsidR="00E912C3" w:rsidRPr="00736D5E">
        <w:t xml:space="preserve">many women have shorter paid work histories due </w:t>
      </w:r>
      <w:r w:rsidR="00C77E39" w:rsidRPr="00736D5E">
        <w:t xml:space="preserve">to </w:t>
      </w:r>
      <w:r w:rsidR="00E912C3" w:rsidRPr="00736D5E">
        <w:t xml:space="preserve">providing care for </w:t>
      </w:r>
      <w:r w:rsidR="00C81491" w:rsidRPr="00736D5E">
        <w:t>small children and older relatives (</w:t>
      </w:r>
      <w:r w:rsidR="007F4EE1" w:rsidRPr="00736D5E">
        <w:t>U.S. Bureau of Labor Statistics, 2009).</w:t>
      </w:r>
    </w:p>
    <w:p w:rsidR="002E0913" w:rsidRPr="00736D5E" w:rsidRDefault="00C81491" w:rsidP="00171F9F">
      <w:pPr>
        <w:widowControl w:val="0"/>
        <w:spacing w:line="480" w:lineRule="auto"/>
        <w:ind w:firstLine="720"/>
      </w:pPr>
      <w:r w:rsidRPr="00736D5E">
        <w:t xml:space="preserve">Women </w:t>
      </w:r>
      <w:r w:rsidR="00E912C3" w:rsidRPr="00736D5E">
        <w:t xml:space="preserve">and Blacks </w:t>
      </w:r>
      <w:r w:rsidRPr="00736D5E">
        <w:t xml:space="preserve">also </w:t>
      </w:r>
      <w:r w:rsidR="002E0913" w:rsidRPr="00736D5E">
        <w:t xml:space="preserve">experience more involuntary layoffs in late middle-age than men </w:t>
      </w:r>
      <w:r w:rsidR="00E912C3" w:rsidRPr="00736D5E">
        <w:t xml:space="preserve">and Whites </w:t>
      </w:r>
      <w:r w:rsidR="002E0913" w:rsidRPr="00736D5E">
        <w:t>(</w:t>
      </w:r>
      <w:r w:rsidR="002010E4" w:rsidRPr="00736D5E">
        <w:t xml:space="preserve">Dahl, Nilsen, &amp; Vaage, </w:t>
      </w:r>
      <w:r w:rsidR="002E0913" w:rsidRPr="00736D5E">
        <w:t xml:space="preserve">2000; Flippen &amp; Tienda, 2000). Education increases the </w:t>
      </w:r>
      <w:r w:rsidR="002E0913" w:rsidRPr="00736D5E">
        <w:lastRenderedPageBreak/>
        <w:t xml:space="preserve">chances of being able to find employment, and decreases the chances of suffering work-related disability. </w:t>
      </w:r>
      <w:r w:rsidR="004E1EA6" w:rsidRPr="00736D5E">
        <w:t>Higher occupational status tends to be linked to greater work autonomy and intrinsic rewards (Ekerdt, DeViney, &amp; Kosloski 1996</w:t>
      </w:r>
      <w:r w:rsidR="004E1EA6" w:rsidRPr="00736D5E">
        <w:rPr>
          <w:iCs/>
        </w:rPr>
        <w:t>).</w:t>
      </w:r>
      <w:r w:rsidR="001032F7" w:rsidRPr="00736D5E">
        <w:rPr>
          <w:iCs/>
        </w:rPr>
        <w:t xml:space="preserve"> </w:t>
      </w:r>
      <w:r w:rsidR="001A1F40" w:rsidRPr="00736D5E">
        <w:rPr>
          <w:iCs/>
        </w:rPr>
        <w:t>Importantly, t</w:t>
      </w:r>
      <w:r w:rsidR="001032F7" w:rsidRPr="00736D5E">
        <w:rPr>
          <w:iCs/>
        </w:rPr>
        <w:t xml:space="preserve">hese social stratification factors have been </w:t>
      </w:r>
      <w:r w:rsidR="00F73D97" w:rsidRPr="00736D5E">
        <w:rPr>
          <w:iCs/>
        </w:rPr>
        <w:t>identified as predictors of engagement in anticipatory socialization</w:t>
      </w:r>
      <w:r w:rsidR="0037747F" w:rsidRPr="00736D5E">
        <w:rPr>
          <w:iCs/>
        </w:rPr>
        <w:t xml:space="preserve"> (aka informal planning)</w:t>
      </w:r>
      <w:r w:rsidR="00F73D97" w:rsidRPr="00736D5E">
        <w:rPr>
          <w:iCs/>
        </w:rPr>
        <w:t>.</w:t>
      </w:r>
    </w:p>
    <w:p w:rsidR="00BD48DC" w:rsidRPr="00736D5E" w:rsidRDefault="00EF0CE0" w:rsidP="001A7A7A">
      <w:pPr>
        <w:widowControl w:val="0"/>
        <w:spacing w:line="480" w:lineRule="auto"/>
        <w:outlineLvl w:val="0"/>
        <w:rPr>
          <w:i/>
        </w:rPr>
      </w:pPr>
      <w:r w:rsidRPr="00736D5E">
        <w:rPr>
          <w:i/>
        </w:rPr>
        <w:t xml:space="preserve">Key </w:t>
      </w:r>
      <w:r w:rsidR="00863988" w:rsidRPr="00736D5E">
        <w:rPr>
          <w:i/>
        </w:rPr>
        <w:t xml:space="preserve">Predictors of </w:t>
      </w:r>
      <w:r w:rsidR="00FC4ED9" w:rsidRPr="00736D5E">
        <w:rPr>
          <w:i/>
        </w:rPr>
        <w:t>Anticipatory Socialization</w:t>
      </w:r>
    </w:p>
    <w:p w:rsidR="00736EC9" w:rsidRPr="00736D5E" w:rsidRDefault="00BC3D9C" w:rsidP="001A7A7A">
      <w:pPr>
        <w:widowControl w:val="0"/>
        <w:spacing w:line="480" w:lineRule="auto"/>
        <w:ind w:firstLine="720"/>
      </w:pPr>
      <w:r w:rsidRPr="00736D5E">
        <w:t xml:space="preserve">Previous studies have found that </w:t>
      </w:r>
      <w:r w:rsidR="00093615" w:rsidRPr="00736D5E">
        <w:t xml:space="preserve">higher education, </w:t>
      </w:r>
      <w:r w:rsidR="00D41F78" w:rsidRPr="00736D5E">
        <w:t xml:space="preserve">higher </w:t>
      </w:r>
      <w:r w:rsidR="00093615" w:rsidRPr="00736D5E">
        <w:t xml:space="preserve">income, </w:t>
      </w:r>
      <w:r w:rsidR="00D41F78" w:rsidRPr="00736D5E">
        <w:t xml:space="preserve">higher </w:t>
      </w:r>
      <w:r w:rsidR="00093615" w:rsidRPr="00736D5E">
        <w:t>occupational status</w:t>
      </w:r>
      <w:r w:rsidR="00D41F78" w:rsidRPr="00736D5E">
        <w:t>, and looking forward to retirement p</w:t>
      </w:r>
      <w:r w:rsidR="00093615" w:rsidRPr="00736D5E">
        <w:t xml:space="preserve">redicted more </w:t>
      </w:r>
      <w:r w:rsidR="0047264E" w:rsidRPr="00736D5E">
        <w:t xml:space="preserve">anticipatory socialization </w:t>
      </w:r>
      <w:r w:rsidR="00D059F7" w:rsidRPr="00736D5E">
        <w:t xml:space="preserve">for retirement </w:t>
      </w:r>
      <w:r w:rsidR="00093615" w:rsidRPr="00736D5E">
        <w:t>(</w:t>
      </w:r>
      <w:r w:rsidR="00D059F7" w:rsidRPr="00736D5E">
        <w:t>Ekerdt</w:t>
      </w:r>
      <w:r w:rsidR="00DE37EC" w:rsidRPr="00736D5E">
        <w:t xml:space="preserve"> et al.</w:t>
      </w:r>
      <w:r w:rsidR="00D059F7" w:rsidRPr="00736D5E">
        <w:t xml:space="preserve">, 2000; </w:t>
      </w:r>
      <w:r w:rsidR="005F5C28" w:rsidRPr="00736D5E">
        <w:t>Kosloski</w:t>
      </w:r>
      <w:r w:rsidR="00DE37EC" w:rsidRPr="00736D5E">
        <w:t xml:space="preserve"> et al.</w:t>
      </w:r>
      <w:r w:rsidR="005F5C28" w:rsidRPr="00736D5E">
        <w:t xml:space="preserve">, 2001; </w:t>
      </w:r>
      <w:r w:rsidR="00093615" w:rsidRPr="00736D5E">
        <w:t xml:space="preserve">McPherson &amp; Guppy, 1979). </w:t>
      </w:r>
      <w:r w:rsidR="00D059F7" w:rsidRPr="00736D5E">
        <w:t xml:space="preserve">Marital status (being married), having an employed spouse, health decline, attitude </w:t>
      </w:r>
      <w:r w:rsidR="00C77E39" w:rsidRPr="00736D5E">
        <w:t>toward</w:t>
      </w:r>
      <w:r w:rsidR="00D059F7" w:rsidRPr="00736D5E">
        <w:t xml:space="preserve"> work, </w:t>
      </w:r>
      <w:r w:rsidR="005F5C28" w:rsidRPr="00736D5E">
        <w:t xml:space="preserve">social relations, being White, pension plan coverage, </w:t>
      </w:r>
      <w:r w:rsidR="00D059F7" w:rsidRPr="00736D5E">
        <w:t>and proximity to retirement were also significant predictors</w:t>
      </w:r>
      <w:r w:rsidR="0086071F" w:rsidRPr="00736D5E">
        <w:t xml:space="preserve"> of more anticipatory socialization</w:t>
      </w:r>
      <w:r w:rsidR="00D059F7" w:rsidRPr="00736D5E">
        <w:t xml:space="preserve"> (Ekerdt</w:t>
      </w:r>
      <w:r w:rsidR="005F5C28" w:rsidRPr="00736D5E">
        <w:t xml:space="preserve"> et al.</w:t>
      </w:r>
      <w:r w:rsidR="00D059F7" w:rsidRPr="00736D5E">
        <w:t>, 2000</w:t>
      </w:r>
      <w:r w:rsidR="005F5C28" w:rsidRPr="00736D5E">
        <w:t>; Kosloski et al., 2001</w:t>
      </w:r>
      <w:r w:rsidR="00D059F7" w:rsidRPr="00736D5E">
        <w:t xml:space="preserve">). </w:t>
      </w:r>
      <w:r w:rsidR="001A39A7" w:rsidRPr="00736D5E">
        <w:t xml:space="preserve">Findings were </w:t>
      </w:r>
      <w:r w:rsidR="005F5C28" w:rsidRPr="00736D5E">
        <w:t>mixed for gender</w:t>
      </w:r>
      <w:r w:rsidR="00244F42" w:rsidRPr="00736D5E">
        <w:t xml:space="preserve"> (</w:t>
      </w:r>
      <w:r w:rsidR="00075C9C" w:rsidRPr="00736D5E">
        <w:t xml:space="preserve">e.g., </w:t>
      </w:r>
      <w:r w:rsidR="005F5C28" w:rsidRPr="00736D5E">
        <w:t>Ekerdt et al.</w:t>
      </w:r>
      <w:r w:rsidR="00244F42" w:rsidRPr="00736D5E">
        <w:t xml:space="preserve">, </w:t>
      </w:r>
      <w:r w:rsidR="005F5C28" w:rsidRPr="00736D5E">
        <w:t>2000</w:t>
      </w:r>
      <w:r w:rsidR="00244F42" w:rsidRPr="00736D5E">
        <w:t xml:space="preserve">; </w:t>
      </w:r>
      <w:r w:rsidR="005F5C28" w:rsidRPr="00736D5E">
        <w:t>Kosloski et al.</w:t>
      </w:r>
      <w:r w:rsidR="00244F42" w:rsidRPr="00736D5E">
        <w:t xml:space="preserve">, </w:t>
      </w:r>
      <w:r w:rsidR="005F5C28" w:rsidRPr="00736D5E">
        <w:t>2001</w:t>
      </w:r>
      <w:r w:rsidR="00244F42" w:rsidRPr="00736D5E">
        <w:t>)</w:t>
      </w:r>
      <w:r w:rsidR="005F5C28" w:rsidRPr="00736D5E">
        <w:t xml:space="preserve">. </w:t>
      </w:r>
    </w:p>
    <w:p w:rsidR="006468C9" w:rsidRPr="00736D5E" w:rsidRDefault="00D41F78" w:rsidP="001A7A7A">
      <w:pPr>
        <w:widowControl w:val="0"/>
        <w:spacing w:line="480" w:lineRule="auto"/>
        <w:ind w:firstLine="720"/>
      </w:pPr>
      <w:r w:rsidRPr="00736D5E">
        <w:t>T</w:t>
      </w:r>
      <w:r w:rsidR="005418FF" w:rsidRPr="00736D5E">
        <w:t xml:space="preserve">he present study informs the literature by examining </w:t>
      </w:r>
      <w:r w:rsidR="00742FF1" w:rsidRPr="00736D5E">
        <w:t xml:space="preserve">the </w:t>
      </w:r>
      <w:r w:rsidRPr="00736D5E">
        <w:t xml:space="preserve">predictors of anticipatory socialization for retirement </w:t>
      </w:r>
      <w:r w:rsidR="00E22A30" w:rsidRPr="00736D5E">
        <w:t>among</w:t>
      </w:r>
      <w:r w:rsidR="00742FF1" w:rsidRPr="00736D5E">
        <w:t xml:space="preserve"> </w:t>
      </w:r>
      <w:r w:rsidR="00FF3540" w:rsidRPr="00736D5E">
        <w:t xml:space="preserve">dual-earning </w:t>
      </w:r>
      <w:r w:rsidRPr="00736D5E">
        <w:t>married couples</w:t>
      </w:r>
      <w:r w:rsidR="005418FF" w:rsidRPr="00736D5E">
        <w:t>.</w:t>
      </w:r>
      <w:r w:rsidR="00E94E10" w:rsidRPr="00736D5E">
        <w:t xml:space="preserve"> </w:t>
      </w:r>
      <w:r w:rsidRPr="00736D5E">
        <w:t xml:space="preserve">In particular, this study focuses on social stratification factors and attitude toward retirement as predictors of </w:t>
      </w:r>
      <w:r w:rsidR="00881C6A" w:rsidRPr="00736D5E">
        <w:t xml:space="preserve">anticipatory socialization for </w:t>
      </w:r>
      <w:r w:rsidR="00CA2B60" w:rsidRPr="00736D5E">
        <w:t>retirement</w:t>
      </w:r>
      <w:r w:rsidR="00C03DC4" w:rsidRPr="00736D5E">
        <w:t xml:space="preserve"> for husbands and wives. This study is dyadic in nature, </w:t>
      </w:r>
      <w:r w:rsidR="007B40AB" w:rsidRPr="00736D5E">
        <w:t>including</w:t>
      </w:r>
      <w:r w:rsidR="00C03DC4" w:rsidRPr="00736D5E">
        <w:t xml:space="preserve"> </w:t>
      </w:r>
      <w:r w:rsidR="00056280" w:rsidRPr="00736D5E">
        <w:t xml:space="preserve">data from both spouses and </w:t>
      </w:r>
      <w:r w:rsidR="00C03DC4" w:rsidRPr="00736D5E">
        <w:t xml:space="preserve">individual and </w:t>
      </w:r>
      <w:r w:rsidR="00D8622A" w:rsidRPr="00736D5E">
        <w:t>spouse characteristics</w:t>
      </w:r>
      <w:r w:rsidR="00C03DC4" w:rsidRPr="00736D5E">
        <w:t xml:space="preserve"> in the model</w:t>
      </w:r>
      <w:r w:rsidR="00527783" w:rsidRPr="00736D5E">
        <w:t>, so the interrelated aspect of the marital context (e.g., income and wealth) and the outcome of anticipatory socialization for retirement can be modeled</w:t>
      </w:r>
      <w:r w:rsidR="00C03DC4" w:rsidRPr="00736D5E">
        <w:t>.</w:t>
      </w:r>
    </w:p>
    <w:p w:rsidR="006468C9" w:rsidRPr="00736D5E" w:rsidRDefault="00B01055" w:rsidP="001A7A7A">
      <w:pPr>
        <w:widowControl w:val="0"/>
        <w:spacing w:line="480" w:lineRule="auto"/>
        <w:ind w:firstLine="720"/>
      </w:pPr>
      <w:r w:rsidRPr="00736D5E">
        <w:t>T</w:t>
      </w:r>
      <w:r w:rsidR="00EB5892" w:rsidRPr="00736D5E">
        <w:t>his study test</w:t>
      </w:r>
      <w:r w:rsidR="00214BC2" w:rsidRPr="00736D5E">
        <w:t>ed</w:t>
      </w:r>
      <w:r w:rsidR="00EB5892" w:rsidRPr="00736D5E">
        <w:t xml:space="preserve"> </w:t>
      </w:r>
      <w:r w:rsidR="00D41F78" w:rsidRPr="00736D5E">
        <w:t xml:space="preserve">three </w:t>
      </w:r>
      <w:r w:rsidR="00EB5892" w:rsidRPr="00736D5E">
        <w:t>hypotheses</w:t>
      </w:r>
      <w:r w:rsidR="008B2AF5" w:rsidRPr="00736D5E">
        <w:t>:</w:t>
      </w:r>
      <w:r w:rsidR="00EB5892" w:rsidRPr="00736D5E">
        <w:t xml:space="preserve"> </w:t>
      </w:r>
      <w:r w:rsidR="00214BC2" w:rsidRPr="00736D5E">
        <w:t>(</w:t>
      </w:r>
      <w:r w:rsidR="0025557F" w:rsidRPr="00736D5E">
        <w:t>1</w:t>
      </w:r>
      <w:r w:rsidR="00214BC2" w:rsidRPr="00736D5E">
        <w:t>)</w:t>
      </w:r>
      <w:r w:rsidR="00EB5892" w:rsidRPr="00736D5E">
        <w:t xml:space="preserve"> husbands will report more </w:t>
      </w:r>
      <w:r w:rsidR="00302933" w:rsidRPr="00736D5E">
        <w:t>anticipatory socialization behaviors</w:t>
      </w:r>
      <w:r w:rsidR="00B1408E" w:rsidRPr="00736D5E">
        <w:t xml:space="preserve"> th</w:t>
      </w:r>
      <w:r w:rsidR="00EB5892" w:rsidRPr="00736D5E">
        <w:t>a</w:t>
      </w:r>
      <w:r w:rsidR="00B1408E" w:rsidRPr="00736D5E">
        <w:t xml:space="preserve">n </w:t>
      </w:r>
      <w:r w:rsidR="00EB5892" w:rsidRPr="00736D5E">
        <w:t>wive</w:t>
      </w:r>
      <w:r w:rsidR="00B87ABD" w:rsidRPr="00736D5E">
        <w:t>s</w:t>
      </w:r>
      <w:r w:rsidR="00D41F78" w:rsidRPr="00736D5E">
        <w:t xml:space="preserve">; </w:t>
      </w:r>
      <w:r w:rsidR="007D5E4D" w:rsidRPr="00736D5E">
        <w:t xml:space="preserve">(2) husbands and wives with higher </w:t>
      </w:r>
      <w:r w:rsidR="00693134" w:rsidRPr="00736D5E">
        <w:t>socioeconomic</w:t>
      </w:r>
      <w:r w:rsidR="007D5E4D" w:rsidRPr="00736D5E">
        <w:t xml:space="preserve"> status (i.e., higher education, </w:t>
      </w:r>
      <w:r w:rsidR="00467492" w:rsidRPr="00736D5E">
        <w:t xml:space="preserve">higher </w:t>
      </w:r>
      <w:r w:rsidR="007D5E4D" w:rsidRPr="00736D5E">
        <w:t xml:space="preserve">income, </w:t>
      </w:r>
      <w:r w:rsidR="00467492" w:rsidRPr="00736D5E">
        <w:t xml:space="preserve">higher </w:t>
      </w:r>
      <w:r w:rsidR="007D5E4D" w:rsidRPr="00736D5E">
        <w:t>occupational status</w:t>
      </w:r>
      <w:r w:rsidR="00467492" w:rsidRPr="00736D5E">
        <w:t>, and</w:t>
      </w:r>
      <w:r w:rsidR="006E55C8" w:rsidRPr="00736D5E">
        <w:t xml:space="preserve"> </w:t>
      </w:r>
      <w:r w:rsidR="007D5E4D" w:rsidRPr="00736D5E">
        <w:t>White race</w:t>
      </w:r>
      <w:r w:rsidR="00DA7EEC" w:rsidRPr="00736D5E">
        <w:t xml:space="preserve">; </w:t>
      </w:r>
      <w:r w:rsidR="00CB70BD" w:rsidRPr="00736D5E">
        <w:rPr>
          <w:rStyle w:val="addmd"/>
        </w:rPr>
        <w:t>Grusky &amp; Ku, 2008</w:t>
      </w:r>
      <w:r w:rsidR="007D5E4D" w:rsidRPr="00736D5E">
        <w:t xml:space="preserve">) will be more likely to engage in anticipatory socialization activities than those with lower </w:t>
      </w:r>
      <w:r w:rsidR="007D5E4D" w:rsidRPr="00736D5E">
        <w:lastRenderedPageBreak/>
        <w:t>soci</w:t>
      </w:r>
      <w:r w:rsidR="00693134" w:rsidRPr="00736D5E">
        <w:t>oeconomic</w:t>
      </w:r>
      <w:r w:rsidR="007D5E4D" w:rsidRPr="00736D5E">
        <w:t xml:space="preserve"> status; </w:t>
      </w:r>
      <w:r w:rsidR="00D41F78" w:rsidRPr="00736D5E">
        <w:t xml:space="preserve">and (3) </w:t>
      </w:r>
      <w:r w:rsidR="00403533" w:rsidRPr="00736D5E">
        <w:t>l</w:t>
      </w:r>
      <w:r w:rsidR="00D41F78" w:rsidRPr="00736D5E">
        <w:t xml:space="preserve">ooking forward to retirement will increase both the individual’s and his/her spouse’s </w:t>
      </w:r>
      <w:r w:rsidR="00B87ABD" w:rsidRPr="00736D5E">
        <w:t>anticipatory socialization for retirement</w:t>
      </w:r>
      <w:r w:rsidR="00D41F78" w:rsidRPr="00736D5E">
        <w:t xml:space="preserve">. </w:t>
      </w:r>
    </w:p>
    <w:p w:rsidR="00510056" w:rsidRPr="00736D5E" w:rsidRDefault="00A96A64" w:rsidP="001A7A7A">
      <w:pPr>
        <w:widowControl w:val="0"/>
        <w:spacing w:line="480" w:lineRule="auto"/>
        <w:jc w:val="center"/>
        <w:outlineLvl w:val="0"/>
      </w:pPr>
      <w:r w:rsidRPr="00736D5E">
        <w:t xml:space="preserve">Design and </w:t>
      </w:r>
      <w:r w:rsidR="00510056" w:rsidRPr="00736D5E">
        <w:t>Method</w:t>
      </w:r>
      <w:r w:rsidRPr="00736D5E">
        <w:t>s</w:t>
      </w:r>
    </w:p>
    <w:p w:rsidR="00F47A6A" w:rsidRPr="00736D5E" w:rsidRDefault="00151D74" w:rsidP="001A7A7A">
      <w:pPr>
        <w:widowControl w:val="0"/>
        <w:spacing w:line="480" w:lineRule="auto"/>
      </w:pPr>
      <w:r w:rsidRPr="00736D5E">
        <w:tab/>
      </w:r>
      <w:r w:rsidR="00D30305" w:rsidRPr="00736D5E">
        <w:t>D</w:t>
      </w:r>
      <w:r w:rsidRPr="00736D5E">
        <w:t xml:space="preserve">ata </w:t>
      </w:r>
      <w:r w:rsidR="00D30305" w:rsidRPr="00736D5E">
        <w:t xml:space="preserve">were collected during </w:t>
      </w:r>
      <w:r w:rsidRPr="00736D5E">
        <w:t xml:space="preserve">face-to-face interviews conducted in the respondents’ homes in the first </w:t>
      </w:r>
      <w:r w:rsidR="00973D7A" w:rsidRPr="00736D5E">
        <w:t xml:space="preserve">interview </w:t>
      </w:r>
      <w:r w:rsidRPr="00736D5E">
        <w:t>of the Health and Retirement Survey</w:t>
      </w:r>
      <w:r w:rsidR="00050A3E" w:rsidRPr="00736D5E">
        <w:t xml:space="preserve"> (</w:t>
      </w:r>
      <w:r w:rsidRPr="00736D5E">
        <w:t>Institute for Social Research</w:t>
      </w:r>
      <w:r w:rsidR="00C27BC0" w:rsidRPr="00736D5E">
        <w:t>,</w:t>
      </w:r>
      <w:r w:rsidRPr="00736D5E">
        <w:t xml:space="preserve"> 2002). </w:t>
      </w:r>
      <w:r w:rsidR="00050A3E" w:rsidRPr="00736D5E">
        <w:t xml:space="preserve">The </w:t>
      </w:r>
      <w:r w:rsidR="005F6A0F" w:rsidRPr="00736D5E">
        <w:t>Health and Retirement Survey (</w:t>
      </w:r>
      <w:r w:rsidRPr="00736D5E">
        <w:t>HRS</w:t>
      </w:r>
      <w:r w:rsidR="005F6A0F" w:rsidRPr="00736D5E">
        <w:t>)</w:t>
      </w:r>
      <w:r w:rsidRPr="00736D5E">
        <w:t xml:space="preserve"> </w:t>
      </w:r>
      <w:r w:rsidR="00973D7A" w:rsidRPr="00736D5E">
        <w:t xml:space="preserve">consists of </w:t>
      </w:r>
      <w:r w:rsidRPr="00736D5E">
        <w:t>a nationally-representative sample of adults aged 51-61</w:t>
      </w:r>
      <w:r w:rsidR="00A9051E" w:rsidRPr="00736D5E">
        <w:t>,</w:t>
      </w:r>
      <w:r w:rsidR="00341588" w:rsidRPr="00736D5E">
        <w:t xml:space="preserve"> </w:t>
      </w:r>
      <w:r w:rsidRPr="00736D5E">
        <w:t>and their spouses, with over</w:t>
      </w:r>
      <w:r w:rsidR="00D30305" w:rsidRPr="00736D5E">
        <w:t>-</w:t>
      </w:r>
      <w:r w:rsidRPr="00736D5E">
        <w:t>sampling of Blacks, Hispanics, and Florida</w:t>
      </w:r>
      <w:r w:rsidR="0083412D" w:rsidRPr="00736D5E">
        <w:t xml:space="preserve"> </w:t>
      </w:r>
      <w:r w:rsidRPr="00736D5E">
        <w:t xml:space="preserve">residents. </w:t>
      </w:r>
      <w:r w:rsidR="00936351" w:rsidRPr="00736D5E">
        <w:t>This study utilize</w:t>
      </w:r>
      <w:r w:rsidR="00050A3E" w:rsidRPr="00736D5E">
        <w:t>d</w:t>
      </w:r>
      <w:r w:rsidR="00936351" w:rsidRPr="00736D5E">
        <w:t xml:space="preserve"> </w:t>
      </w:r>
      <w:r w:rsidR="007D7751" w:rsidRPr="00736D5E">
        <w:t xml:space="preserve">raw </w:t>
      </w:r>
      <w:r w:rsidR="00973D7A" w:rsidRPr="00736D5E">
        <w:t xml:space="preserve">HRS </w:t>
      </w:r>
      <w:r w:rsidR="00F02957" w:rsidRPr="00736D5E">
        <w:t>data</w:t>
      </w:r>
      <w:r w:rsidR="00836BDD" w:rsidRPr="00736D5E">
        <w:t xml:space="preserve"> </w:t>
      </w:r>
      <w:r w:rsidR="00973D7A" w:rsidRPr="00736D5E">
        <w:t xml:space="preserve">and </w:t>
      </w:r>
      <w:r w:rsidR="00403533" w:rsidRPr="00736D5E">
        <w:t>the</w:t>
      </w:r>
      <w:r w:rsidR="00F02957" w:rsidRPr="00736D5E">
        <w:t xml:space="preserve"> </w:t>
      </w:r>
      <w:r w:rsidR="00973D7A" w:rsidRPr="00736D5E">
        <w:t xml:space="preserve">HRS Version </w:t>
      </w:r>
      <w:r w:rsidR="00E468CA" w:rsidRPr="00736D5E">
        <w:t xml:space="preserve">L </w:t>
      </w:r>
      <w:r w:rsidR="00A9051E" w:rsidRPr="00736D5E">
        <w:t>data</w:t>
      </w:r>
      <w:r w:rsidR="00973D7A" w:rsidRPr="00736D5E">
        <w:t xml:space="preserve"> compiled by the RAND Corporation</w:t>
      </w:r>
      <w:r w:rsidR="00984291" w:rsidRPr="00736D5E">
        <w:t xml:space="preserve">. </w:t>
      </w:r>
      <w:r w:rsidR="002836D0" w:rsidRPr="00736D5E">
        <w:t>With funding from the National Institute on Aging and the Social Security Administration, the RAND version of the HRS data is user-friendly, with variables that are cleaned and consistently named across survey waves, and with computed summary variables for income, wealth and occupational status.</w:t>
      </w:r>
      <w:r w:rsidR="006D3317" w:rsidRPr="00736D5E">
        <w:t xml:space="preserve"> </w:t>
      </w:r>
      <w:r w:rsidR="00936351" w:rsidRPr="00736D5E">
        <w:t xml:space="preserve">The sample for this study consisted of </w:t>
      </w:r>
      <w:r w:rsidR="00CA2A14" w:rsidRPr="00736D5E">
        <w:t xml:space="preserve">White and Black (non-Hispanic) </w:t>
      </w:r>
      <w:r w:rsidR="00936351" w:rsidRPr="00736D5E">
        <w:t>married adults aged 51</w:t>
      </w:r>
      <w:r w:rsidR="00BB285A" w:rsidRPr="00736D5E">
        <w:t xml:space="preserve"> </w:t>
      </w:r>
      <w:r w:rsidR="00936351" w:rsidRPr="00736D5E">
        <w:t>-</w:t>
      </w:r>
      <w:r w:rsidR="00BB285A" w:rsidRPr="00736D5E">
        <w:t xml:space="preserve"> </w:t>
      </w:r>
      <w:r w:rsidR="00936351" w:rsidRPr="00736D5E">
        <w:t xml:space="preserve">61 and their spouses. Both spouses had to be age 45 or older, working full- or part-time, </w:t>
      </w:r>
      <w:r w:rsidR="0083412D" w:rsidRPr="00736D5E">
        <w:t xml:space="preserve">have </w:t>
      </w:r>
      <w:r w:rsidR="00936351" w:rsidRPr="00736D5E">
        <w:t>provide</w:t>
      </w:r>
      <w:r w:rsidR="0083412D" w:rsidRPr="00736D5E">
        <w:t>d</w:t>
      </w:r>
      <w:r w:rsidR="00936351" w:rsidRPr="00736D5E">
        <w:t xml:space="preserve"> responses for the HRS</w:t>
      </w:r>
      <w:r w:rsidR="00E468CA" w:rsidRPr="00736D5E">
        <w:t xml:space="preserve"> (no proxy responses)</w:t>
      </w:r>
      <w:r w:rsidR="006A6997" w:rsidRPr="00736D5E">
        <w:t>, and have complete data for the study variables for both spouses</w:t>
      </w:r>
      <w:r w:rsidR="00936351" w:rsidRPr="00736D5E">
        <w:t>. The final sample size for this study was 2,</w:t>
      </w:r>
      <w:r w:rsidR="00E468CA" w:rsidRPr="00736D5E">
        <w:t>056</w:t>
      </w:r>
      <w:r w:rsidR="006A6997" w:rsidRPr="00736D5E">
        <w:t xml:space="preserve"> </w:t>
      </w:r>
      <w:r w:rsidR="00CA2A14" w:rsidRPr="00736D5E">
        <w:t>individuals (</w:t>
      </w:r>
      <w:r w:rsidR="00E468CA" w:rsidRPr="00736D5E">
        <w:t xml:space="preserve">1,028 </w:t>
      </w:r>
      <w:r w:rsidR="00CA2A14" w:rsidRPr="00736D5E">
        <w:t xml:space="preserve">couples). </w:t>
      </w:r>
    </w:p>
    <w:p w:rsidR="00151D74" w:rsidRPr="00736D5E" w:rsidRDefault="00346BF9" w:rsidP="001A7A7A">
      <w:pPr>
        <w:widowControl w:val="0"/>
        <w:spacing w:line="480" w:lineRule="auto"/>
        <w:outlineLvl w:val="0"/>
        <w:rPr>
          <w:i/>
        </w:rPr>
      </w:pPr>
      <w:r w:rsidRPr="00736D5E">
        <w:rPr>
          <w:i/>
        </w:rPr>
        <w:t>Measures</w:t>
      </w:r>
    </w:p>
    <w:p w:rsidR="00753289" w:rsidRPr="00736D5E" w:rsidRDefault="00864B76" w:rsidP="001A7A7A">
      <w:pPr>
        <w:widowControl w:val="0"/>
        <w:spacing w:line="480" w:lineRule="auto"/>
        <w:ind w:firstLine="720"/>
      </w:pPr>
      <w:r w:rsidRPr="00736D5E">
        <w:rPr>
          <w:i/>
        </w:rPr>
        <w:t>Social Stratification</w:t>
      </w:r>
      <w:r w:rsidR="00C7475A" w:rsidRPr="00736D5E">
        <w:rPr>
          <w:i/>
        </w:rPr>
        <w:t xml:space="preserve"> </w:t>
      </w:r>
      <w:r w:rsidRPr="00736D5E">
        <w:rPr>
          <w:i/>
        </w:rPr>
        <w:t>Factors</w:t>
      </w:r>
      <w:r w:rsidR="003726D5" w:rsidRPr="00736D5E">
        <w:rPr>
          <w:i/>
        </w:rPr>
        <w:t>.</w:t>
      </w:r>
      <w:r w:rsidR="003726D5" w:rsidRPr="00736D5E">
        <w:t xml:space="preserve"> </w:t>
      </w:r>
      <w:r w:rsidRPr="00736D5E">
        <w:t>This study examine</w:t>
      </w:r>
      <w:r w:rsidR="00831028">
        <w:t>d</w:t>
      </w:r>
      <w:r w:rsidRPr="00736D5E">
        <w:t xml:space="preserve"> the social stratification factors of age (years), </w:t>
      </w:r>
      <w:r w:rsidR="002D751E" w:rsidRPr="00736D5E">
        <w:t xml:space="preserve">education (0-17+ years), self-identified race (White/Caucasian or Black/African American), occupational status, </w:t>
      </w:r>
      <w:r w:rsidRPr="00736D5E">
        <w:t xml:space="preserve">income (annual earnings), </w:t>
      </w:r>
      <w:r w:rsidR="00BE4B8A" w:rsidRPr="00736D5E">
        <w:t>couple</w:t>
      </w:r>
      <w:r w:rsidR="002D751E" w:rsidRPr="00736D5E">
        <w:t xml:space="preserve"> </w:t>
      </w:r>
      <w:r w:rsidR="00251933" w:rsidRPr="00736D5E">
        <w:t xml:space="preserve">wealth, and </w:t>
      </w:r>
      <w:r w:rsidR="00BE4B8A" w:rsidRPr="00736D5E">
        <w:t xml:space="preserve">couple </w:t>
      </w:r>
      <w:r w:rsidR="002D751E" w:rsidRPr="00736D5E">
        <w:t>retirement account</w:t>
      </w:r>
      <w:r w:rsidR="0037747F" w:rsidRPr="00736D5E">
        <w:t xml:space="preserve"> wealth</w:t>
      </w:r>
      <w:r w:rsidRPr="00736D5E">
        <w:t>. A</w:t>
      </w:r>
      <w:r w:rsidR="003726D5" w:rsidRPr="00736D5E">
        <w:t>ge</w:t>
      </w:r>
      <w:r w:rsidRPr="00736D5E">
        <w:t xml:space="preserve"> was included as a p</w:t>
      </w:r>
      <w:r w:rsidR="008D5F1C" w:rsidRPr="00736D5E">
        <w:t>roxy for proximity to retirement</w:t>
      </w:r>
      <w:r w:rsidR="008977E2" w:rsidRPr="00736D5E">
        <w:t>.</w:t>
      </w:r>
      <w:r w:rsidR="00270B9A" w:rsidRPr="00736D5E">
        <w:t xml:space="preserve"> </w:t>
      </w:r>
      <w:r w:rsidR="002D751E" w:rsidRPr="00736D5E">
        <w:t xml:space="preserve">Occupational status was based on the longest reported occupation, using the 17-category occupation groups employed for the 1980 U.S. Census (Nolte &amp; Servais, 2003), rank ordered by prestige status. </w:t>
      </w:r>
    </w:p>
    <w:p w:rsidR="00270B9A" w:rsidRPr="00736D5E" w:rsidRDefault="002D751E" w:rsidP="002836D0">
      <w:pPr>
        <w:widowControl w:val="0"/>
        <w:spacing w:line="480" w:lineRule="auto"/>
        <w:ind w:firstLine="720"/>
      </w:pPr>
      <w:r w:rsidRPr="00736D5E">
        <w:lastRenderedPageBreak/>
        <w:t xml:space="preserve">Wealth was measured at the </w:t>
      </w:r>
      <w:r w:rsidR="00BE4B8A" w:rsidRPr="00736D5E">
        <w:t>couple</w:t>
      </w:r>
      <w:r w:rsidRPr="00736D5E">
        <w:t xml:space="preserve"> level with two variables computed by RAND: net value of </w:t>
      </w:r>
      <w:r w:rsidR="0037747F" w:rsidRPr="00736D5E">
        <w:t xml:space="preserve">both spouse’s </w:t>
      </w:r>
      <w:r w:rsidRPr="00736D5E">
        <w:t xml:space="preserve">individual retirement accounts (IRA and Keogh), and </w:t>
      </w:r>
      <w:r w:rsidR="00BE4B8A" w:rsidRPr="00736D5E">
        <w:t xml:space="preserve">the couple’s </w:t>
      </w:r>
      <w:r w:rsidRPr="00736D5E">
        <w:t>total wealth (assets minus debts) excluding IRAs.</w:t>
      </w:r>
      <w:r w:rsidR="00864B76" w:rsidRPr="00736D5E">
        <w:t xml:space="preserve"> </w:t>
      </w:r>
      <w:r w:rsidRPr="00736D5E">
        <w:t xml:space="preserve">Income </w:t>
      </w:r>
      <w:r w:rsidR="00F61124" w:rsidRPr="00736D5E">
        <w:t xml:space="preserve">(individual and spouse’s) </w:t>
      </w:r>
      <w:r w:rsidRPr="00736D5E">
        <w:t xml:space="preserve">and </w:t>
      </w:r>
      <w:r w:rsidR="0037747F" w:rsidRPr="00736D5E">
        <w:t xml:space="preserve">couple’s </w:t>
      </w:r>
      <w:r w:rsidRPr="00736D5E">
        <w:t>wealth were highly positively skewed</w:t>
      </w:r>
      <w:r w:rsidR="00DA2887" w:rsidRPr="00736D5E">
        <w:t xml:space="preserve">. Couple’s wealth was </w:t>
      </w:r>
      <w:r w:rsidR="007C7375" w:rsidRPr="00736D5E">
        <w:t>r</w:t>
      </w:r>
      <w:r w:rsidR="00DA2887" w:rsidRPr="00736D5E">
        <w:t>ecoded by adding the lowest observed value plus $250 to all responses to remove negative and zero values</w:t>
      </w:r>
      <w:r w:rsidR="0021204C" w:rsidRPr="00736D5E">
        <w:t>; then income and wealth</w:t>
      </w:r>
      <w:r w:rsidRPr="00736D5E">
        <w:t xml:space="preserve"> were transformed by taking the </w:t>
      </w:r>
      <w:r w:rsidR="00DA2887" w:rsidRPr="00736D5E">
        <w:t>square root</w:t>
      </w:r>
      <w:r w:rsidRPr="00736D5E">
        <w:t xml:space="preserve">. </w:t>
      </w:r>
      <w:r w:rsidR="00725359">
        <w:t xml:space="preserve">Education, income, and wealth </w:t>
      </w:r>
      <w:r w:rsidR="00F83865" w:rsidRPr="00736D5E">
        <w:t>were</w:t>
      </w:r>
      <w:r w:rsidR="002836D0" w:rsidRPr="00736D5E">
        <w:t xml:space="preserve"> correlated, </w:t>
      </w:r>
      <w:r w:rsidR="00F83865" w:rsidRPr="00736D5E">
        <w:t xml:space="preserve">but </w:t>
      </w:r>
      <w:r w:rsidR="002836D0" w:rsidRPr="00736D5E">
        <w:t xml:space="preserve">the </w:t>
      </w:r>
      <w:r w:rsidR="00725359" w:rsidRPr="00736D5E">
        <w:t>magnitudes of associations were</w:t>
      </w:r>
      <w:r w:rsidR="00F83865" w:rsidRPr="00736D5E">
        <w:t xml:space="preserve"> small to moderate (correlations </w:t>
      </w:r>
      <w:r w:rsidR="002836D0" w:rsidRPr="00736D5E">
        <w:t>rang</w:t>
      </w:r>
      <w:r w:rsidR="00F83865" w:rsidRPr="00736D5E">
        <w:t>ed</w:t>
      </w:r>
      <w:r w:rsidR="002836D0" w:rsidRPr="00736D5E">
        <w:t xml:space="preserve"> from </w:t>
      </w:r>
      <w:r w:rsidR="007C7375" w:rsidRPr="00736D5E">
        <w:t xml:space="preserve">.15 to .31, </w:t>
      </w:r>
      <w:r w:rsidR="007C7375" w:rsidRPr="00736D5E">
        <w:rPr>
          <w:i/>
        </w:rPr>
        <w:t>p</w:t>
      </w:r>
      <w:r w:rsidR="007C7375" w:rsidRPr="00736D5E">
        <w:t xml:space="preserve"> &lt; .01</w:t>
      </w:r>
      <w:r w:rsidR="00F83865" w:rsidRPr="00736D5E">
        <w:t>)</w:t>
      </w:r>
      <w:r w:rsidR="007C7375" w:rsidRPr="00736D5E">
        <w:t>.</w:t>
      </w:r>
    </w:p>
    <w:p w:rsidR="00C00CB2" w:rsidRPr="00736D5E" w:rsidRDefault="00674F90" w:rsidP="001A7A7A">
      <w:pPr>
        <w:widowControl w:val="0"/>
        <w:spacing w:line="480" w:lineRule="auto"/>
        <w:ind w:firstLine="720"/>
      </w:pPr>
      <w:r w:rsidRPr="00736D5E">
        <w:rPr>
          <w:i/>
        </w:rPr>
        <w:t>Anticipatory Socialization for Retirement</w:t>
      </w:r>
      <w:r w:rsidR="00346BF9" w:rsidRPr="00736D5E">
        <w:t xml:space="preserve">. </w:t>
      </w:r>
      <w:r w:rsidR="00984291" w:rsidRPr="00736D5E">
        <w:t>T</w:t>
      </w:r>
      <w:r w:rsidR="007D7751" w:rsidRPr="00736D5E">
        <w:t xml:space="preserve">he </w:t>
      </w:r>
      <w:r w:rsidR="00796268" w:rsidRPr="00736D5E">
        <w:t xml:space="preserve">first wave of </w:t>
      </w:r>
      <w:r w:rsidR="007D7751" w:rsidRPr="00736D5E">
        <w:t xml:space="preserve">HRS </w:t>
      </w:r>
      <w:r w:rsidR="00433466" w:rsidRPr="00736D5E">
        <w:t xml:space="preserve">(1992) </w:t>
      </w:r>
      <w:r w:rsidR="007D7751" w:rsidRPr="00736D5E">
        <w:t xml:space="preserve">included </w:t>
      </w:r>
      <w:r w:rsidR="00A90F22" w:rsidRPr="00736D5E">
        <w:t>several</w:t>
      </w:r>
      <w:r w:rsidR="00E60BF2" w:rsidRPr="00736D5E">
        <w:t xml:space="preserve"> </w:t>
      </w:r>
      <w:r w:rsidR="007D7751" w:rsidRPr="00736D5E">
        <w:t xml:space="preserve">questions </w:t>
      </w:r>
      <w:r w:rsidR="00D37177" w:rsidRPr="00736D5E">
        <w:t>related to</w:t>
      </w:r>
      <w:r w:rsidR="007D7751" w:rsidRPr="00736D5E">
        <w:t xml:space="preserve"> retirement </w:t>
      </w:r>
      <w:r w:rsidR="00A90F22" w:rsidRPr="00736D5E">
        <w:t xml:space="preserve">for those who had not yet retired. </w:t>
      </w:r>
      <w:r w:rsidR="001C1DB1" w:rsidRPr="00736D5E">
        <w:t>A scale for</w:t>
      </w:r>
      <w:r w:rsidR="00C71E34" w:rsidRPr="00736D5E">
        <w:t xml:space="preserve"> anticipatory socialization for </w:t>
      </w:r>
      <w:r w:rsidR="001C1DB1" w:rsidRPr="00736D5E">
        <w:t>retirement was created by combining responses to three questions:</w:t>
      </w:r>
      <w:r w:rsidR="00A90F22" w:rsidRPr="00736D5E">
        <w:t xml:space="preserve"> </w:t>
      </w:r>
      <w:r w:rsidR="00AE450B" w:rsidRPr="00736D5E">
        <w:t>“How much have you thought about retirement?”, “How much have you discussed retirement with your spouse?”, and “How much have you discussed retirement with your friends or co-workers?”</w:t>
      </w:r>
      <w:r w:rsidR="00386E53" w:rsidRPr="00736D5E">
        <w:t xml:space="preserve"> (</w:t>
      </w:r>
      <w:r w:rsidR="00AE450B" w:rsidRPr="00736D5E">
        <w:rPr>
          <w:i/>
        </w:rPr>
        <w:t>a lot</w:t>
      </w:r>
      <w:r w:rsidR="00AE450B" w:rsidRPr="00736D5E">
        <w:t xml:space="preserve">; </w:t>
      </w:r>
      <w:r w:rsidR="00AE450B" w:rsidRPr="00736D5E">
        <w:rPr>
          <w:i/>
        </w:rPr>
        <w:t>some</w:t>
      </w:r>
      <w:r w:rsidR="00AE450B" w:rsidRPr="00736D5E">
        <w:t xml:space="preserve">; </w:t>
      </w:r>
      <w:r w:rsidR="00AE450B" w:rsidRPr="00736D5E">
        <w:rPr>
          <w:i/>
        </w:rPr>
        <w:t>a little</w:t>
      </w:r>
      <w:r w:rsidR="00AE450B" w:rsidRPr="00736D5E">
        <w:t xml:space="preserve">; and </w:t>
      </w:r>
      <w:r w:rsidR="00AE450B" w:rsidRPr="00736D5E">
        <w:rPr>
          <w:i/>
        </w:rPr>
        <w:t>hardly at all</w:t>
      </w:r>
      <w:r w:rsidR="00386E53" w:rsidRPr="00736D5E">
        <w:t>)</w:t>
      </w:r>
      <w:r w:rsidR="00AE450B" w:rsidRPr="00736D5E">
        <w:rPr>
          <w:i/>
        </w:rPr>
        <w:t>.</w:t>
      </w:r>
      <w:r w:rsidR="001C1DB1" w:rsidRPr="00736D5E">
        <w:rPr>
          <w:i/>
        </w:rPr>
        <w:t xml:space="preserve"> </w:t>
      </w:r>
      <w:r w:rsidR="001C1DB1" w:rsidRPr="00736D5E">
        <w:t>The scale had good internal consistency (Cronbach’s alpha = .</w:t>
      </w:r>
      <w:r w:rsidR="006A6136" w:rsidRPr="00736D5E">
        <w:t>83</w:t>
      </w:r>
      <w:r w:rsidR="001C1DB1" w:rsidRPr="00736D5E">
        <w:t xml:space="preserve">). </w:t>
      </w:r>
      <w:r w:rsidR="00425FF6" w:rsidRPr="00736D5E">
        <w:t xml:space="preserve">The theoretical range was from </w:t>
      </w:r>
      <w:r w:rsidR="006A6136" w:rsidRPr="00736D5E">
        <w:t xml:space="preserve">0 </w:t>
      </w:r>
      <w:r w:rsidR="00425FF6" w:rsidRPr="00736D5E">
        <w:t xml:space="preserve">to </w:t>
      </w:r>
      <w:r w:rsidR="006A6136" w:rsidRPr="00736D5E">
        <w:t>9</w:t>
      </w:r>
      <w:r w:rsidR="000951C7" w:rsidRPr="00736D5E">
        <w:t xml:space="preserve">, </w:t>
      </w:r>
      <w:r w:rsidR="00E60BF2" w:rsidRPr="00736D5E">
        <w:t xml:space="preserve">with higher scores indicating </w:t>
      </w:r>
      <w:r w:rsidR="00A30D49" w:rsidRPr="00736D5E">
        <w:t>a higher level of</w:t>
      </w:r>
      <w:r w:rsidR="00E60BF2" w:rsidRPr="00736D5E">
        <w:t xml:space="preserve"> </w:t>
      </w:r>
      <w:r w:rsidR="00C71E34" w:rsidRPr="00736D5E">
        <w:t>socialization</w:t>
      </w:r>
      <w:r w:rsidR="00E60BF2" w:rsidRPr="00736D5E">
        <w:t>.</w:t>
      </w:r>
    </w:p>
    <w:p w:rsidR="00686820" w:rsidRPr="00736D5E" w:rsidRDefault="00847E13" w:rsidP="001A7A7A">
      <w:pPr>
        <w:widowControl w:val="0"/>
        <w:spacing w:line="480" w:lineRule="auto"/>
        <w:ind w:firstLine="720"/>
      </w:pPr>
      <w:r w:rsidRPr="00736D5E">
        <w:rPr>
          <w:i/>
        </w:rPr>
        <w:t xml:space="preserve">Attitude Toward </w:t>
      </w:r>
      <w:r w:rsidR="00686820" w:rsidRPr="00736D5E">
        <w:rPr>
          <w:i/>
        </w:rPr>
        <w:t>Retirement</w:t>
      </w:r>
      <w:r w:rsidR="00686820" w:rsidRPr="00736D5E">
        <w:t>. Respondents were asked the question: “When you think about the time when you [and your spouse] will (completely) retire, are you looking forward to it, are you uneasy about it, or what?” Responses were recoded so that the reference group consisted of those who reported ambivalence or anxiety, compared to those who reported that they were looking forward to retirement.</w:t>
      </w:r>
    </w:p>
    <w:p w:rsidR="00063429" w:rsidRPr="00736D5E" w:rsidRDefault="002D751E" w:rsidP="001A7A7A">
      <w:pPr>
        <w:widowControl w:val="0"/>
        <w:spacing w:line="480" w:lineRule="auto"/>
        <w:ind w:firstLine="720"/>
      </w:pPr>
      <w:r w:rsidRPr="00736D5E">
        <w:rPr>
          <w:i/>
        </w:rPr>
        <w:t>Health</w:t>
      </w:r>
      <w:r w:rsidR="00E468CA" w:rsidRPr="00736D5E">
        <w:rPr>
          <w:i/>
        </w:rPr>
        <w:t xml:space="preserve"> and Mental Health</w:t>
      </w:r>
      <w:r w:rsidR="00063429" w:rsidRPr="00736D5E">
        <w:t xml:space="preserve">. Health was measured </w:t>
      </w:r>
      <w:r w:rsidR="00251933" w:rsidRPr="00736D5E">
        <w:t xml:space="preserve">using a </w:t>
      </w:r>
      <w:r w:rsidR="00293EB0" w:rsidRPr="00736D5E">
        <w:t xml:space="preserve">single-item question </w:t>
      </w:r>
      <w:r w:rsidR="009B4011" w:rsidRPr="00736D5E">
        <w:t xml:space="preserve">“Do you have any impairment or health problem that limits the kind or amount of paid work you can </w:t>
      </w:r>
      <w:r w:rsidR="009B4011" w:rsidRPr="00736D5E">
        <w:lastRenderedPageBreak/>
        <w:t>do?”</w:t>
      </w:r>
      <w:r w:rsidR="00251933" w:rsidRPr="00736D5E">
        <w:t>, as this could prompt people to engage in retirement planning.</w:t>
      </w:r>
      <w:r w:rsidR="009B4011" w:rsidRPr="00736D5E">
        <w:t xml:space="preserve"> </w:t>
      </w:r>
      <w:r w:rsidR="00E468CA" w:rsidRPr="00736D5E">
        <w:t>Mental health was measured using eight symptoms from the Center for Epidemiologic Studies–Depression (CES-D) scale (</w:t>
      </w:r>
      <w:r w:rsidR="00AF3DF2" w:rsidRPr="00736D5E">
        <w:t>Radloff, 1977; scale range of</w:t>
      </w:r>
      <w:r w:rsidR="00E468CA" w:rsidRPr="00736D5E">
        <w:t xml:space="preserve"> 0-24</w:t>
      </w:r>
      <w:r w:rsidR="00AF3DF2" w:rsidRPr="00736D5E">
        <w:t xml:space="preserve">; higher score = </w:t>
      </w:r>
      <w:r w:rsidR="00E468CA" w:rsidRPr="00736D5E">
        <w:t>more depressive symptoms</w:t>
      </w:r>
      <w:r w:rsidR="00AF3DF2" w:rsidRPr="00736D5E">
        <w:t>)</w:t>
      </w:r>
      <w:r w:rsidR="00E468CA" w:rsidRPr="00736D5E">
        <w:t>.</w:t>
      </w:r>
    </w:p>
    <w:p w:rsidR="00864C3A" w:rsidRPr="00736D5E" w:rsidRDefault="00864C3A" w:rsidP="001A7A7A">
      <w:pPr>
        <w:widowControl w:val="0"/>
        <w:spacing w:line="480" w:lineRule="auto"/>
        <w:outlineLvl w:val="0"/>
        <w:rPr>
          <w:i/>
        </w:rPr>
      </w:pPr>
      <w:r w:rsidRPr="00736D5E">
        <w:rPr>
          <w:i/>
        </w:rPr>
        <w:t>Data Analys</w:t>
      </w:r>
      <w:r w:rsidR="00C15982" w:rsidRPr="00736D5E">
        <w:rPr>
          <w:i/>
        </w:rPr>
        <w:t>e</w:t>
      </w:r>
      <w:r w:rsidRPr="00736D5E">
        <w:rPr>
          <w:i/>
        </w:rPr>
        <w:t>s</w:t>
      </w:r>
    </w:p>
    <w:p w:rsidR="006D3C76" w:rsidRPr="00736D5E" w:rsidRDefault="00C548FE" w:rsidP="001A7A7A">
      <w:pPr>
        <w:widowControl w:val="0"/>
        <w:spacing w:line="480" w:lineRule="auto"/>
        <w:ind w:firstLine="720"/>
      </w:pPr>
      <w:r w:rsidRPr="00736D5E">
        <w:t>F</w:t>
      </w:r>
      <w:r w:rsidR="00675972" w:rsidRPr="00736D5E">
        <w:t>requencies and descriptive statistics</w:t>
      </w:r>
      <w:r w:rsidR="008B2AF5" w:rsidRPr="00736D5E">
        <w:t xml:space="preserve"> </w:t>
      </w:r>
      <w:r w:rsidRPr="00736D5E">
        <w:t xml:space="preserve">were used </w:t>
      </w:r>
      <w:r w:rsidR="008B2AF5" w:rsidRPr="00736D5E">
        <w:t xml:space="preserve">to describe the sample and to examine the distribution of the data </w:t>
      </w:r>
      <w:r w:rsidR="00BF4EF8" w:rsidRPr="00736D5E">
        <w:t xml:space="preserve">for violation of </w:t>
      </w:r>
      <w:r w:rsidR="008B2AF5" w:rsidRPr="00736D5E">
        <w:t>statistical assumptions.</w:t>
      </w:r>
      <w:r w:rsidR="00E22407" w:rsidRPr="00736D5E">
        <w:t xml:space="preserve"> </w:t>
      </w:r>
      <w:r w:rsidR="006F1A1B" w:rsidRPr="00736D5E">
        <w:t>Pearson’s correlations</w:t>
      </w:r>
      <w:r w:rsidR="00B5360F" w:rsidRPr="00736D5E">
        <w:t xml:space="preserve"> were used to examine the relationships between study variables</w:t>
      </w:r>
      <w:r w:rsidR="00E22407" w:rsidRPr="00736D5E">
        <w:t xml:space="preserve">, </w:t>
      </w:r>
      <w:r w:rsidR="00B5360F" w:rsidRPr="00736D5E">
        <w:t xml:space="preserve">while </w:t>
      </w:r>
      <w:r w:rsidR="006F1A1B" w:rsidRPr="00736D5E">
        <w:t xml:space="preserve">paired </w:t>
      </w:r>
      <w:r w:rsidR="006F1A1B" w:rsidRPr="00736D5E">
        <w:rPr>
          <w:i/>
        </w:rPr>
        <w:t>t</w:t>
      </w:r>
      <w:r w:rsidR="006F1A1B" w:rsidRPr="00736D5E">
        <w:t>-tests</w:t>
      </w:r>
      <w:r w:rsidR="00C15982" w:rsidRPr="00736D5E">
        <w:t xml:space="preserve"> and </w:t>
      </w:r>
      <w:r w:rsidR="00674F90" w:rsidRPr="00736D5E">
        <w:t xml:space="preserve">McNemar </w:t>
      </w:r>
      <w:r w:rsidR="00C15982" w:rsidRPr="00736D5E">
        <w:t>tests</w:t>
      </w:r>
      <w:r w:rsidR="00E22407" w:rsidRPr="00736D5E">
        <w:t xml:space="preserve"> </w:t>
      </w:r>
      <w:r w:rsidR="00B5360F" w:rsidRPr="00736D5E">
        <w:t>were used for the analysis of gender differences</w:t>
      </w:r>
      <w:r w:rsidR="0098697A" w:rsidRPr="00736D5E">
        <w:t xml:space="preserve"> in these relationships</w:t>
      </w:r>
      <w:r w:rsidR="00B5360F" w:rsidRPr="00736D5E">
        <w:t xml:space="preserve">. The </w:t>
      </w:r>
      <w:r w:rsidR="00B5360F" w:rsidRPr="00736D5E">
        <w:rPr>
          <w:color w:val="000000"/>
        </w:rPr>
        <w:t>data for this study are hierarchical in nature (i.e., individuals within couples), and were collected from both spouses. T</w:t>
      </w:r>
      <w:r w:rsidR="00671D0A" w:rsidRPr="00736D5E">
        <w:t>h</w:t>
      </w:r>
      <w:r w:rsidR="00B5360F" w:rsidRPr="00736D5E">
        <w:t xml:space="preserve">is represents a violation of the </w:t>
      </w:r>
      <w:r w:rsidR="00671D0A" w:rsidRPr="00736D5E">
        <w:t>statistical assumption of independence for traditional OLS regression</w:t>
      </w:r>
      <w:r w:rsidR="00B5360F" w:rsidRPr="00736D5E">
        <w:t xml:space="preserve"> (Raudenbush &amp; Bryk, 2002)</w:t>
      </w:r>
      <w:r w:rsidR="00671D0A" w:rsidRPr="00736D5E">
        <w:t>. Therefore, these data were analyzed using m</w:t>
      </w:r>
      <w:r w:rsidR="00A15A42" w:rsidRPr="00736D5E">
        <w:t>ultilevel modeling</w:t>
      </w:r>
      <w:r w:rsidR="00671D0A" w:rsidRPr="00736D5E">
        <w:t xml:space="preserve"> </w:t>
      </w:r>
      <w:r w:rsidR="00B5360F" w:rsidRPr="00736D5E">
        <w:t xml:space="preserve">(MLM) </w:t>
      </w:r>
      <w:r w:rsidR="00671D0A" w:rsidRPr="00736D5E">
        <w:t xml:space="preserve">with </w:t>
      </w:r>
      <w:r w:rsidR="00A15A42" w:rsidRPr="00736D5E">
        <w:t>HLM 6.</w:t>
      </w:r>
      <w:r w:rsidR="00674F90" w:rsidRPr="00736D5E">
        <w:t>0</w:t>
      </w:r>
      <w:r w:rsidR="00725359">
        <w:t>8</w:t>
      </w:r>
      <w:r w:rsidR="00A15A42" w:rsidRPr="00736D5E">
        <w:t xml:space="preserve"> software</w:t>
      </w:r>
      <w:r w:rsidR="00671D0A" w:rsidRPr="00736D5E">
        <w:t xml:space="preserve"> to </w:t>
      </w:r>
      <w:r w:rsidR="00E22407" w:rsidRPr="00736D5E">
        <w:t xml:space="preserve">examine the </w:t>
      </w:r>
      <w:r w:rsidR="00A15A42" w:rsidRPr="00736D5E">
        <w:t xml:space="preserve">predictors of anticipatory socialization </w:t>
      </w:r>
      <w:r w:rsidR="00E22407" w:rsidRPr="00736D5E">
        <w:t>in a multivariate context</w:t>
      </w:r>
      <w:r w:rsidR="00671D0A" w:rsidRPr="00736D5E">
        <w:t xml:space="preserve">. </w:t>
      </w:r>
    </w:p>
    <w:p w:rsidR="00546368" w:rsidRPr="00736D5E" w:rsidRDefault="006D3C76" w:rsidP="001A7A7A">
      <w:pPr>
        <w:widowControl w:val="0"/>
        <w:spacing w:line="480" w:lineRule="auto"/>
        <w:ind w:firstLine="720"/>
      </w:pPr>
      <w:r w:rsidRPr="00736D5E">
        <w:t>M</w:t>
      </w:r>
      <w:r w:rsidR="00B5360F" w:rsidRPr="00736D5E">
        <w:t>ultilevel modeling e</w:t>
      </w:r>
      <w:r w:rsidR="007A3F3A" w:rsidRPr="00736D5E">
        <w:t>nables</w:t>
      </w:r>
      <w:r w:rsidR="00B5360F" w:rsidRPr="00736D5E">
        <w:t xml:space="preserve"> the modeling of both fixed and random effects, which provide</w:t>
      </w:r>
      <w:r w:rsidR="007A3F3A" w:rsidRPr="00736D5E">
        <w:t>s</w:t>
      </w:r>
      <w:r w:rsidR="00B5360F" w:rsidRPr="00736D5E">
        <w:t xml:space="preserve"> information about both the average effects for the sample and the amount of variability around those fixed effects.</w:t>
      </w:r>
      <w:r w:rsidR="007A3F3A" w:rsidRPr="00736D5E">
        <w:t xml:space="preserve"> This method also allows the outcome to be modeled separately, </w:t>
      </w:r>
      <w:r w:rsidRPr="00736D5E">
        <w:t xml:space="preserve">yet </w:t>
      </w:r>
      <w:r w:rsidR="007A3F3A" w:rsidRPr="00736D5E">
        <w:t>simultaneously, for husbands and wives (Sayer &amp; Klute, 2005).</w:t>
      </w:r>
      <w:r w:rsidR="00B5360F" w:rsidRPr="00736D5E">
        <w:t xml:space="preserve"> </w:t>
      </w:r>
      <w:r w:rsidR="005D3D97" w:rsidRPr="00736D5E">
        <w:t xml:space="preserve">Consistent with the </w:t>
      </w:r>
      <w:r w:rsidR="0098697A" w:rsidRPr="00736D5E">
        <w:t xml:space="preserve">multivariate outcomes </w:t>
      </w:r>
      <w:r w:rsidR="005D3D97" w:rsidRPr="00736D5E">
        <w:t xml:space="preserve">strategy described by </w:t>
      </w:r>
      <w:r w:rsidR="0098697A" w:rsidRPr="00736D5E">
        <w:t xml:space="preserve">Sayer and Klute, </w:t>
      </w:r>
      <w:r w:rsidR="005D3D97" w:rsidRPr="00736D5E">
        <w:t>L</w:t>
      </w:r>
      <w:r w:rsidR="00B5360F" w:rsidRPr="00736D5E">
        <w:t xml:space="preserve">evel 1 </w:t>
      </w:r>
      <w:r w:rsidR="0098697A" w:rsidRPr="00736D5E">
        <w:t xml:space="preserve">consisted </w:t>
      </w:r>
      <w:r w:rsidR="00B5360F" w:rsidRPr="00736D5E">
        <w:t xml:space="preserve">of </w:t>
      </w:r>
      <w:r w:rsidR="005D3D97" w:rsidRPr="00736D5E">
        <w:t xml:space="preserve">the husband </w:t>
      </w:r>
      <w:r w:rsidR="007424D1" w:rsidRPr="00736D5E">
        <w:t xml:space="preserve">and wife </w:t>
      </w:r>
      <w:r w:rsidR="005D3D97" w:rsidRPr="00736D5E">
        <w:t>indicator variable</w:t>
      </w:r>
      <w:r w:rsidR="007424D1" w:rsidRPr="00736D5E">
        <w:t>s, which are used to compute separate intercepts by gender</w:t>
      </w:r>
      <w:r w:rsidR="005D3D97" w:rsidRPr="00736D5E">
        <w:t xml:space="preserve">. </w:t>
      </w:r>
      <w:r w:rsidR="007A3F3A" w:rsidRPr="00736D5E">
        <w:t>The</w:t>
      </w:r>
      <w:r w:rsidR="007424D1" w:rsidRPr="00736D5E">
        <w:t>se</w:t>
      </w:r>
      <w:r w:rsidR="007A3F3A" w:rsidRPr="00736D5E">
        <w:t xml:space="preserve"> husband and wife intercepts provide</w:t>
      </w:r>
      <w:r w:rsidR="007424D1" w:rsidRPr="00736D5E">
        <w:t>d</w:t>
      </w:r>
      <w:r w:rsidR="007A3F3A" w:rsidRPr="00736D5E">
        <w:t xml:space="preserve"> information in the unconditional model about the average amount of anticipatory socialization for husbands and wives </w:t>
      </w:r>
      <w:r w:rsidR="0098697A" w:rsidRPr="00736D5E">
        <w:t>and were parameterized as random effects</w:t>
      </w:r>
      <w:r w:rsidR="007A3F3A" w:rsidRPr="00736D5E">
        <w:t xml:space="preserve">. </w:t>
      </w:r>
      <w:r w:rsidR="0098697A" w:rsidRPr="00736D5E">
        <w:t>Level 2</w:t>
      </w:r>
      <w:r w:rsidR="005D3D97" w:rsidRPr="00736D5E">
        <w:t xml:space="preserve"> </w:t>
      </w:r>
      <w:r w:rsidR="0098697A" w:rsidRPr="00736D5E">
        <w:t xml:space="preserve">consisted </w:t>
      </w:r>
      <w:r w:rsidR="005D3D97" w:rsidRPr="00736D5E">
        <w:t>of the predictors of anticipatory socialization for husbands and wives.</w:t>
      </w:r>
      <w:r w:rsidR="0098697A" w:rsidRPr="00736D5E">
        <w:t xml:space="preserve"> </w:t>
      </w:r>
      <w:r w:rsidR="00D8622A" w:rsidRPr="00736D5E">
        <w:t xml:space="preserve">Individual-level characteristics </w:t>
      </w:r>
      <w:r w:rsidR="00C72CF9" w:rsidRPr="00736D5E">
        <w:t>were</w:t>
      </w:r>
      <w:r w:rsidR="00D8622A" w:rsidRPr="00736D5E">
        <w:t xml:space="preserve"> used to predict the individual’s own anticipatory </w:t>
      </w:r>
      <w:r w:rsidR="00D8622A" w:rsidRPr="00736D5E">
        <w:lastRenderedPageBreak/>
        <w:t>socialization for retirement as well as the anticipatory socialization of their spouse (i.e., Actor-Partner Interdependence Model; Kenny, Kashy, &amp; Cook, 2006).</w:t>
      </w:r>
      <w:r w:rsidR="00F102A9" w:rsidRPr="00736D5E">
        <w:t xml:space="preserve"> </w:t>
      </w:r>
      <w:r w:rsidR="00251933" w:rsidRPr="00736D5E">
        <w:t>W</w:t>
      </w:r>
      <w:r w:rsidR="00F102A9" w:rsidRPr="00736D5E">
        <w:t xml:space="preserve">ealth </w:t>
      </w:r>
      <w:r w:rsidR="00251933" w:rsidRPr="00736D5E">
        <w:t xml:space="preserve">and retirement accounts </w:t>
      </w:r>
      <w:r w:rsidR="00753289" w:rsidRPr="00736D5E">
        <w:t xml:space="preserve">were also included as </w:t>
      </w:r>
      <w:r w:rsidR="00BE4B8A" w:rsidRPr="00736D5E">
        <w:t>couple</w:t>
      </w:r>
      <w:r w:rsidR="00F102A9" w:rsidRPr="00736D5E">
        <w:t xml:space="preserve">-level </w:t>
      </w:r>
      <w:r w:rsidR="00753289" w:rsidRPr="00736D5E">
        <w:t>predictors of anticipatory socialization.</w:t>
      </w:r>
      <w:r w:rsidR="00F102A9" w:rsidRPr="00736D5E">
        <w:t xml:space="preserve"> </w:t>
      </w:r>
    </w:p>
    <w:p w:rsidR="0098697A" w:rsidRPr="00736D5E" w:rsidRDefault="0098697A" w:rsidP="001A7A7A">
      <w:pPr>
        <w:widowControl w:val="0"/>
        <w:spacing w:line="480" w:lineRule="auto"/>
        <w:ind w:firstLine="720"/>
      </w:pPr>
      <w:r w:rsidRPr="00736D5E">
        <w:t>When analyzing dyadic cross-sectional data, this</w:t>
      </w:r>
      <w:r w:rsidR="006D3C76" w:rsidRPr="00736D5E">
        <w:t xml:space="preserve"> multi</w:t>
      </w:r>
      <w:r w:rsidRPr="00736D5E">
        <w:t xml:space="preserve">variate outcomes parameterization lacks sufficient degrees of freedom to calculate the regression lines for husbands and wives as well as the random effect. Currently, there are two choices </w:t>
      </w:r>
      <w:r w:rsidR="00831028">
        <w:t>available to address</w:t>
      </w:r>
      <w:r w:rsidRPr="00736D5E">
        <w:t xml:space="preserve"> this issue: to use a method called “parallel measures” (Barnett, Marshall, Raudenbush &amp; Brennan, 1993), or to fix the </w:t>
      </w:r>
      <w:r w:rsidR="00760F9A" w:rsidRPr="00736D5E">
        <w:t xml:space="preserve">Level </w:t>
      </w:r>
      <w:r w:rsidR="00F05005" w:rsidRPr="00736D5E">
        <w:t>1 variance (sigma</w:t>
      </w:r>
      <w:r w:rsidR="000E0C31" w:rsidRPr="00736D5E">
        <w:t xml:space="preserve"> </w:t>
      </w:r>
      <w:r w:rsidR="00F05005" w:rsidRPr="00736D5E">
        <w:t>squared) to a known quantity</w:t>
      </w:r>
      <w:r w:rsidR="006D3C76" w:rsidRPr="00736D5E">
        <w:t xml:space="preserve"> (Raudenbush &amp; Bryk, 2002)</w:t>
      </w:r>
      <w:r w:rsidR="00F05005" w:rsidRPr="00736D5E">
        <w:t xml:space="preserve">. </w:t>
      </w:r>
      <w:r w:rsidR="006D3C76" w:rsidRPr="00736D5E">
        <w:t>Th</w:t>
      </w:r>
      <w:r w:rsidR="00CD080C" w:rsidRPr="00736D5E">
        <w:t>e</w:t>
      </w:r>
      <w:r w:rsidR="006D3C76" w:rsidRPr="00736D5E">
        <w:t xml:space="preserve"> la</w:t>
      </w:r>
      <w:r w:rsidR="00CD080C" w:rsidRPr="00736D5E">
        <w:t>t</w:t>
      </w:r>
      <w:r w:rsidR="006D3C76" w:rsidRPr="00736D5E">
        <w:t>ter approach was employed</w:t>
      </w:r>
      <w:r w:rsidR="00AF3DF2" w:rsidRPr="00736D5E">
        <w:t xml:space="preserve"> (as there were insufficient indicators in the outcome to justify the parallel measures approach)</w:t>
      </w:r>
      <w:r w:rsidR="006D3C76" w:rsidRPr="00736D5E">
        <w:t>, and a variable was created in the data for the error variance. The values for this variable were calculated (separately for husbands and wives) using the following formula: (1-</w:t>
      </w:r>
      <w:r w:rsidR="00AA60B6" w:rsidRPr="00736D5E">
        <w:t>reliability</w:t>
      </w:r>
      <w:r w:rsidR="006D3C76" w:rsidRPr="00736D5E">
        <w:t>)*the observed variance (</w:t>
      </w:r>
      <w:r w:rsidR="00AA60B6" w:rsidRPr="00736D5E">
        <w:t>Cano, Johansen, &amp; Franz, 2005</w:t>
      </w:r>
      <w:r w:rsidR="00F45426" w:rsidRPr="00736D5E">
        <w:t>).</w:t>
      </w:r>
      <w:r w:rsidR="00244F42" w:rsidRPr="00736D5E">
        <w:t xml:space="preserve"> </w:t>
      </w:r>
    </w:p>
    <w:p w:rsidR="000E0017" w:rsidRPr="00736D5E" w:rsidRDefault="00671D0A" w:rsidP="003849A3">
      <w:pPr>
        <w:widowControl w:val="0"/>
        <w:spacing w:line="480" w:lineRule="auto"/>
        <w:ind w:firstLine="720"/>
      </w:pPr>
      <w:r w:rsidRPr="00736D5E">
        <w:t xml:space="preserve">Data were analyzed using </w:t>
      </w:r>
      <w:r w:rsidR="007424D1" w:rsidRPr="00736D5E">
        <w:t xml:space="preserve">two </w:t>
      </w:r>
      <w:r w:rsidRPr="00736D5E">
        <w:t>nested models</w:t>
      </w:r>
      <w:r w:rsidR="007424D1" w:rsidRPr="00736D5E">
        <w:t xml:space="preserve">. </w:t>
      </w:r>
      <w:r w:rsidR="00546368" w:rsidRPr="00736D5E">
        <w:t>The predictors of age, income, education</w:t>
      </w:r>
      <w:r w:rsidR="00AF3DF2" w:rsidRPr="00736D5E">
        <w:t xml:space="preserve">, </w:t>
      </w:r>
      <w:r w:rsidR="005E21FC" w:rsidRPr="00736D5E">
        <w:t xml:space="preserve">occupational status, </w:t>
      </w:r>
      <w:r w:rsidR="00AF3DF2" w:rsidRPr="00736D5E">
        <w:t>and depressive symptomatology</w:t>
      </w:r>
      <w:r w:rsidR="00546368" w:rsidRPr="00736D5E">
        <w:t xml:space="preserve"> were centered </w:t>
      </w:r>
      <w:r w:rsidR="00B41F6D" w:rsidRPr="00736D5E">
        <w:t xml:space="preserve">on </w:t>
      </w:r>
      <w:r w:rsidR="00546368" w:rsidRPr="00736D5E">
        <w:t>the</w:t>
      </w:r>
      <w:r w:rsidR="00B41F6D" w:rsidRPr="00736D5E">
        <w:t>ir gender-specific sample</w:t>
      </w:r>
      <w:r w:rsidR="00546368" w:rsidRPr="00736D5E">
        <w:t xml:space="preserve"> mean</w:t>
      </w:r>
      <w:r w:rsidR="00B41F6D" w:rsidRPr="00736D5E">
        <w:t>s</w:t>
      </w:r>
      <w:r w:rsidR="00546368" w:rsidRPr="00736D5E">
        <w:t xml:space="preserve">. </w:t>
      </w:r>
      <w:r w:rsidR="000E0017" w:rsidRPr="00736D5E">
        <w:t>For example, the mean age of husbands was 55.</w:t>
      </w:r>
      <w:r w:rsidR="003849A3" w:rsidRPr="00736D5E">
        <w:t>68</w:t>
      </w:r>
      <w:r w:rsidR="000E0017" w:rsidRPr="00736D5E">
        <w:t>, so this value was subtracted from the age of each husband, so that the new mean would be zero. This method retains information about each person’s age while simplifying interpretation of results.</w:t>
      </w:r>
      <w:r w:rsidR="00C74BA0" w:rsidRPr="00736D5E">
        <w:t xml:space="preserve"> Couple’s wealth and retirement accounts were centered on the sample mean.</w:t>
      </w:r>
    </w:p>
    <w:p w:rsidR="00546FC0" w:rsidRPr="00736D5E" w:rsidRDefault="00E10589" w:rsidP="001A7A7A">
      <w:pPr>
        <w:widowControl w:val="0"/>
        <w:spacing w:line="480" w:lineRule="auto"/>
        <w:ind w:firstLine="720"/>
        <w:rPr>
          <w:color w:val="000000"/>
        </w:rPr>
      </w:pPr>
      <w:r w:rsidRPr="00736D5E">
        <w:t>The outcome variable for the multilevel models was the anticipatory socialization for retirement scale. A preliminary unconditional model (</w:t>
      </w:r>
      <w:r w:rsidR="0048142C" w:rsidRPr="00736D5E">
        <w:t>Model 1</w:t>
      </w:r>
      <w:r w:rsidRPr="00736D5E">
        <w:t xml:space="preserve">) was run to determine the average amount of anticipatory socialization </w:t>
      </w:r>
      <w:r w:rsidR="00B41F6D" w:rsidRPr="00736D5E">
        <w:t xml:space="preserve">retirement </w:t>
      </w:r>
      <w:r w:rsidRPr="00736D5E">
        <w:t>behaviors for husbands and wives. This model was also used to compute the intraclass correlation (i.e., the amount of variance shared by couples), and whether there was unexplained variance to warrant further analysis (</w:t>
      </w:r>
      <w:r w:rsidR="00D81160" w:rsidRPr="00736D5E">
        <w:t>Kenny</w:t>
      </w:r>
      <w:r w:rsidR="004D76DF" w:rsidRPr="00736D5E">
        <w:t xml:space="preserve"> et al.</w:t>
      </w:r>
      <w:r w:rsidR="00D81160" w:rsidRPr="00736D5E">
        <w:t xml:space="preserve">, </w:t>
      </w:r>
      <w:r w:rsidR="00D81160" w:rsidRPr="00736D5E">
        <w:lastRenderedPageBreak/>
        <w:t xml:space="preserve">2006; </w:t>
      </w:r>
      <w:r w:rsidR="00A632C3" w:rsidRPr="00736D5E">
        <w:t>Lyons &amp; Sayer, 2005</w:t>
      </w:r>
      <w:r w:rsidRPr="00736D5E">
        <w:t xml:space="preserve">). </w:t>
      </w:r>
      <w:r w:rsidR="00C74BA0" w:rsidRPr="00736D5E">
        <w:t xml:space="preserve">Model 2 (conditional model) </w:t>
      </w:r>
      <w:r w:rsidR="007424D1" w:rsidRPr="00736D5E">
        <w:t xml:space="preserve"> consisted of </w:t>
      </w:r>
      <w:r w:rsidR="00270B9A" w:rsidRPr="00736D5E">
        <w:t>individual variables (</w:t>
      </w:r>
      <w:r w:rsidR="00251933" w:rsidRPr="00736D5E">
        <w:t xml:space="preserve">age, education, race, occupational status, </w:t>
      </w:r>
      <w:r w:rsidR="00270B9A" w:rsidRPr="00736D5E">
        <w:t xml:space="preserve">income, </w:t>
      </w:r>
      <w:r w:rsidR="00847E13" w:rsidRPr="00736D5E">
        <w:t xml:space="preserve">attitude toward </w:t>
      </w:r>
      <w:r w:rsidR="00270B9A" w:rsidRPr="00736D5E">
        <w:t>retirement</w:t>
      </w:r>
      <w:r w:rsidR="00753289" w:rsidRPr="00736D5E">
        <w:t>, health</w:t>
      </w:r>
      <w:r w:rsidR="00C74BA0" w:rsidRPr="00736D5E">
        <w:t>, depressive symptomatology</w:t>
      </w:r>
      <w:r w:rsidR="007C6A39" w:rsidRPr="00736D5E">
        <w:t>)</w:t>
      </w:r>
      <w:r w:rsidR="00F102A9" w:rsidRPr="00736D5E">
        <w:t xml:space="preserve">, </w:t>
      </w:r>
      <w:r w:rsidR="00270B9A" w:rsidRPr="00736D5E">
        <w:t>spouse variables (</w:t>
      </w:r>
      <w:r w:rsidR="00251933" w:rsidRPr="00736D5E">
        <w:t>age, education, occupational status, income, attitude toward retirement, health</w:t>
      </w:r>
      <w:r w:rsidR="00C74BA0" w:rsidRPr="00736D5E">
        <w:t>, depressive symptomatology</w:t>
      </w:r>
      <w:r w:rsidR="00270B9A" w:rsidRPr="00736D5E">
        <w:t>)</w:t>
      </w:r>
      <w:r w:rsidR="00F102A9" w:rsidRPr="00736D5E">
        <w:t xml:space="preserve">, </w:t>
      </w:r>
      <w:r w:rsidR="00753289" w:rsidRPr="00736D5E">
        <w:t xml:space="preserve">and </w:t>
      </w:r>
      <w:r w:rsidR="00BE4B8A" w:rsidRPr="00736D5E">
        <w:t xml:space="preserve">couple-level </w:t>
      </w:r>
      <w:r w:rsidR="00753289" w:rsidRPr="00736D5E">
        <w:t>wealth variables</w:t>
      </w:r>
      <w:r w:rsidR="00251933" w:rsidRPr="00736D5E">
        <w:t xml:space="preserve"> (retirement accounts and total wealth)</w:t>
      </w:r>
      <w:r w:rsidR="00270B9A" w:rsidRPr="00736D5E">
        <w:t xml:space="preserve">. </w:t>
      </w:r>
      <w:r w:rsidR="0048142C" w:rsidRPr="00736D5E">
        <w:t>As a final step</w:t>
      </w:r>
      <w:r w:rsidR="00270B9A" w:rsidRPr="00736D5E">
        <w:t>,</w:t>
      </w:r>
      <w:r w:rsidR="00C74BA0" w:rsidRPr="00736D5E">
        <w:t xml:space="preserve"> </w:t>
      </w:r>
      <w:r w:rsidR="00270B9A" w:rsidRPr="00736D5E">
        <w:t xml:space="preserve">the cross-spouse predictors that were not statistically significant </w:t>
      </w:r>
      <w:r w:rsidR="00546368" w:rsidRPr="00736D5E">
        <w:t xml:space="preserve">for either husbands or wives </w:t>
      </w:r>
      <w:r w:rsidR="00270B9A" w:rsidRPr="00736D5E">
        <w:t xml:space="preserve">were removed </w:t>
      </w:r>
      <w:r w:rsidR="00546368" w:rsidRPr="00736D5E">
        <w:t xml:space="preserve">for the sake of parsimony </w:t>
      </w:r>
      <w:r w:rsidR="00270B9A" w:rsidRPr="00736D5E">
        <w:t xml:space="preserve">and </w:t>
      </w:r>
      <w:r w:rsidR="00CE1B11" w:rsidRPr="00736D5E">
        <w:t>the</w:t>
      </w:r>
      <w:r w:rsidR="007424D1" w:rsidRPr="00736D5E">
        <w:t xml:space="preserve"> second model </w:t>
      </w:r>
      <w:r w:rsidR="00270B9A" w:rsidRPr="00736D5E">
        <w:t>w</w:t>
      </w:r>
      <w:r w:rsidR="00546368" w:rsidRPr="00736D5E">
        <w:t>as</w:t>
      </w:r>
      <w:r w:rsidR="00270B9A" w:rsidRPr="00736D5E">
        <w:t xml:space="preserve"> </w:t>
      </w:r>
      <w:r w:rsidR="00C74BA0" w:rsidRPr="00736D5E">
        <w:t>re</w:t>
      </w:r>
      <w:r w:rsidR="00270B9A" w:rsidRPr="00736D5E">
        <w:t>run.</w:t>
      </w:r>
      <w:r w:rsidR="007C6A39" w:rsidRPr="00736D5E">
        <w:t xml:space="preserve"> Thus, the final model (</w:t>
      </w:r>
      <w:r w:rsidR="00D8622A" w:rsidRPr="00736D5E">
        <w:t xml:space="preserve">Table </w:t>
      </w:r>
      <w:r w:rsidR="00D00D45" w:rsidRPr="00736D5E">
        <w:t>1</w:t>
      </w:r>
      <w:r w:rsidR="00D8622A" w:rsidRPr="00736D5E">
        <w:t xml:space="preserve">, </w:t>
      </w:r>
      <w:r w:rsidR="007E1503" w:rsidRPr="00736D5E">
        <w:t xml:space="preserve">Model 2) </w:t>
      </w:r>
      <w:r w:rsidR="007C6A39" w:rsidRPr="00736D5E">
        <w:t xml:space="preserve">consisted of </w:t>
      </w:r>
      <w:r w:rsidR="007E1503" w:rsidRPr="00736D5E">
        <w:t xml:space="preserve">the individual </w:t>
      </w:r>
      <w:r w:rsidR="00F102A9" w:rsidRPr="00736D5E">
        <w:t xml:space="preserve">and </w:t>
      </w:r>
      <w:r w:rsidR="00BE4B8A" w:rsidRPr="00736D5E">
        <w:t xml:space="preserve">couple </w:t>
      </w:r>
      <w:r w:rsidR="007E1503" w:rsidRPr="00736D5E">
        <w:t xml:space="preserve">characteristics, plus </w:t>
      </w:r>
      <w:r w:rsidR="00686FDB" w:rsidRPr="00736D5E">
        <w:t>three</w:t>
      </w:r>
      <w:r w:rsidR="007E1503" w:rsidRPr="00736D5E">
        <w:t xml:space="preserve"> cross-spouse effect</w:t>
      </w:r>
      <w:r w:rsidR="00C74BA0" w:rsidRPr="00736D5E">
        <w:t>s</w:t>
      </w:r>
      <w:r w:rsidR="007E1503" w:rsidRPr="00736D5E">
        <w:t>: spouse’s attitude toward retirement</w:t>
      </w:r>
      <w:r w:rsidR="00686FDB" w:rsidRPr="00736D5E">
        <w:t xml:space="preserve">, </w:t>
      </w:r>
      <w:r w:rsidR="00C74BA0" w:rsidRPr="00736D5E">
        <w:t>spouse’s annual income</w:t>
      </w:r>
      <w:r w:rsidR="00686FDB" w:rsidRPr="00736D5E">
        <w:t>, and spouse’s occupational status</w:t>
      </w:r>
      <w:r w:rsidR="007E1503" w:rsidRPr="00736D5E">
        <w:t xml:space="preserve">. </w:t>
      </w:r>
      <w:r w:rsidR="0048142C" w:rsidRPr="00736D5E">
        <w:t xml:space="preserve">The goodness of fit for </w:t>
      </w:r>
      <w:r w:rsidR="008C247B" w:rsidRPr="00736D5E">
        <w:t xml:space="preserve">Model 1 </w:t>
      </w:r>
      <w:r w:rsidR="006023A7" w:rsidRPr="00736D5E">
        <w:t>was compared to</w:t>
      </w:r>
      <w:r w:rsidR="008C247B" w:rsidRPr="00736D5E">
        <w:t xml:space="preserve"> the final model</w:t>
      </w:r>
      <w:r w:rsidRPr="00736D5E">
        <w:rPr>
          <w:color w:val="000000"/>
        </w:rPr>
        <w:t xml:space="preserve"> using the -2 log-likelihood ratio (i.e., deviance) test to determine </w:t>
      </w:r>
      <w:r w:rsidR="008C247B" w:rsidRPr="00736D5E">
        <w:rPr>
          <w:color w:val="000000"/>
        </w:rPr>
        <w:t xml:space="preserve">which model </w:t>
      </w:r>
      <w:r w:rsidRPr="00736D5E">
        <w:rPr>
          <w:color w:val="000000"/>
        </w:rPr>
        <w:t xml:space="preserve">fit the data better </w:t>
      </w:r>
      <w:r w:rsidR="00B41F6D" w:rsidRPr="00736D5E">
        <w:rPr>
          <w:color w:val="000000"/>
        </w:rPr>
        <w:t>(Raudenbush &amp; Bryk, 2002)</w:t>
      </w:r>
      <w:r w:rsidRPr="00736D5E">
        <w:rPr>
          <w:color w:val="000000"/>
        </w:rPr>
        <w:t xml:space="preserve">. </w:t>
      </w:r>
    </w:p>
    <w:p w:rsidR="00F374E7" w:rsidRPr="00736D5E" w:rsidDel="00F374E7" w:rsidRDefault="00546FC0" w:rsidP="001A7A7A">
      <w:pPr>
        <w:widowControl w:val="0"/>
        <w:spacing w:line="480" w:lineRule="auto"/>
        <w:ind w:firstLine="720"/>
        <w:rPr>
          <w:color w:val="000000"/>
        </w:rPr>
      </w:pPr>
      <w:r w:rsidRPr="00736D5E">
        <w:rPr>
          <w:color w:val="000000"/>
        </w:rPr>
        <w:t>In order to test whether the predicted scores on the outcome were statistically significantly different for husbands and wives</w:t>
      </w:r>
      <w:r w:rsidR="00686FDB" w:rsidRPr="00736D5E">
        <w:rPr>
          <w:color w:val="000000"/>
        </w:rPr>
        <w:t xml:space="preserve"> for Model 2</w:t>
      </w:r>
      <w:r w:rsidR="002A6B1B" w:rsidRPr="00736D5E">
        <w:rPr>
          <w:color w:val="000000"/>
        </w:rPr>
        <w:t xml:space="preserve">, </w:t>
      </w:r>
      <w:r w:rsidR="00686FDB" w:rsidRPr="00736D5E">
        <w:rPr>
          <w:color w:val="000000"/>
        </w:rPr>
        <w:t xml:space="preserve">an </w:t>
      </w:r>
      <w:r w:rsidR="002A6B1B" w:rsidRPr="00736D5E">
        <w:rPr>
          <w:color w:val="000000"/>
        </w:rPr>
        <w:t xml:space="preserve">unconstrained </w:t>
      </w:r>
      <w:r w:rsidR="00686FDB" w:rsidRPr="00736D5E">
        <w:rPr>
          <w:color w:val="000000"/>
        </w:rPr>
        <w:t xml:space="preserve">version </w:t>
      </w:r>
      <w:r w:rsidR="002A6B1B" w:rsidRPr="00736D5E">
        <w:rPr>
          <w:color w:val="000000"/>
        </w:rPr>
        <w:t xml:space="preserve"> with separate fixed effects for husbands and wives were compared to </w:t>
      </w:r>
      <w:r w:rsidR="00686FDB" w:rsidRPr="00736D5E">
        <w:rPr>
          <w:color w:val="000000"/>
        </w:rPr>
        <w:t xml:space="preserve">a </w:t>
      </w:r>
      <w:r w:rsidR="002A6B1B" w:rsidRPr="00736D5E">
        <w:rPr>
          <w:color w:val="000000"/>
        </w:rPr>
        <w:t xml:space="preserve">more parsimonious </w:t>
      </w:r>
      <w:r w:rsidR="00686FDB" w:rsidRPr="00736D5E">
        <w:rPr>
          <w:color w:val="000000"/>
        </w:rPr>
        <w:t>version</w:t>
      </w:r>
      <w:r w:rsidR="002A6B1B" w:rsidRPr="00736D5E">
        <w:rPr>
          <w:color w:val="000000"/>
        </w:rPr>
        <w:t xml:space="preserve"> where the fixed effects were constrained to be equal. </w:t>
      </w:r>
      <w:r w:rsidR="00B91B1A" w:rsidRPr="00736D5E">
        <w:t xml:space="preserve"> C</w:t>
      </w:r>
      <w:r w:rsidR="00D02A3D" w:rsidRPr="00736D5E">
        <w:t xml:space="preserve">onstrained </w:t>
      </w:r>
      <w:r w:rsidR="00B91B1A" w:rsidRPr="00736D5E">
        <w:t xml:space="preserve">versus </w:t>
      </w:r>
      <w:r w:rsidR="00D02A3D" w:rsidRPr="00736D5E">
        <w:t xml:space="preserve">unconstrained </w:t>
      </w:r>
      <w:r w:rsidR="009F1F82" w:rsidRPr="00736D5E">
        <w:t>coefficients</w:t>
      </w:r>
      <w:r w:rsidR="00D02A3D" w:rsidRPr="00736D5E">
        <w:t xml:space="preserve"> for </w:t>
      </w:r>
      <w:r w:rsidR="00B91B1A" w:rsidRPr="00736D5E">
        <w:t xml:space="preserve">the intercept and </w:t>
      </w:r>
      <w:r w:rsidR="00D02A3D" w:rsidRPr="00736D5E">
        <w:t xml:space="preserve">each predictor that was statistically significant for both husbands and wives </w:t>
      </w:r>
      <w:r w:rsidR="00B91B1A" w:rsidRPr="00736D5E">
        <w:t xml:space="preserve">were examined </w:t>
      </w:r>
      <w:r w:rsidR="00D02A3D" w:rsidRPr="00736D5E">
        <w:t xml:space="preserve">to determine whether the magnitude of the relationship was </w:t>
      </w:r>
      <w:r w:rsidR="00F374E7" w:rsidRPr="00736D5E">
        <w:t xml:space="preserve">statistically significantly different for husbands and wives. </w:t>
      </w:r>
    </w:p>
    <w:p w:rsidR="00510056" w:rsidRPr="00736D5E" w:rsidRDefault="00510056" w:rsidP="001A7A7A">
      <w:pPr>
        <w:widowControl w:val="0"/>
        <w:spacing w:line="480" w:lineRule="auto"/>
        <w:jc w:val="center"/>
        <w:outlineLvl w:val="0"/>
      </w:pPr>
      <w:r w:rsidRPr="00736D5E">
        <w:t>Results</w:t>
      </w:r>
    </w:p>
    <w:p w:rsidR="00342277" w:rsidRPr="00736D5E" w:rsidRDefault="00924F5E" w:rsidP="004D637D">
      <w:pPr>
        <w:widowControl w:val="0"/>
        <w:spacing w:line="480" w:lineRule="auto"/>
        <w:ind w:firstLine="720"/>
      </w:pPr>
      <w:r w:rsidRPr="00736D5E">
        <w:t>The average age of husbands was 55.6</w:t>
      </w:r>
      <w:r w:rsidR="00FB254E" w:rsidRPr="00736D5E">
        <w:t>8</w:t>
      </w:r>
      <w:r w:rsidRPr="00736D5E">
        <w:t xml:space="preserve"> years (</w:t>
      </w:r>
      <w:r w:rsidRPr="00736D5E">
        <w:rPr>
          <w:i/>
        </w:rPr>
        <w:t>SD</w:t>
      </w:r>
      <w:r w:rsidRPr="00736D5E">
        <w:t xml:space="preserve"> = </w:t>
      </w:r>
      <w:r w:rsidR="0095600B" w:rsidRPr="00736D5E">
        <w:t>3</w:t>
      </w:r>
      <w:r w:rsidRPr="00736D5E">
        <w:t>.</w:t>
      </w:r>
      <w:r w:rsidR="0095600B" w:rsidRPr="00736D5E">
        <w:t>9</w:t>
      </w:r>
      <w:r w:rsidR="00FB254E" w:rsidRPr="00736D5E">
        <w:t>9</w:t>
      </w:r>
      <w:r w:rsidRPr="00736D5E">
        <w:t>, range 45-7</w:t>
      </w:r>
      <w:r w:rsidR="0095600B" w:rsidRPr="00736D5E">
        <w:t>1</w:t>
      </w:r>
      <w:r w:rsidRPr="00736D5E">
        <w:t>), while wives’ average age was 52.6</w:t>
      </w:r>
      <w:r w:rsidR="00FB254E" w:rsidRPr="00736D5E">
        <w:t>7</w:t>
      </w:r>
      <w:r w:rsidRPr="00736D5E">
        <w:t xml:space="preserve"> years (</w:t>
      </w:r>
      <w:r w:rsidRPr="00736D5E">
        <w:rPr>
          <w:i/>
        </w:rPr>
        <w:t>SD</w:t>
      </w:r>
      <w:r w:rsidRPr="00736D5E">
        <w:t xml:space="preserve"> = 4.1</w:t>
      </w:r>
      <w:r w:rsidR="00FB254E" w:rsidRPr="00736D5E">
        <w:t>2</w:t>
      </w:r>
      <w:r w:rsidRPr="00736D5E">
        <w:t>, range 45-6</w:t>
      </w:r>
      <w:r w:rsidR="0095600B" w:rsidRPr="00736D5E">
        <w:t>4</w:t>
      </w:r>
      <w:r w:rsidRPr="00736D5E">
        <w:t>)</w:t>
      </w:r>
      <w:r w:rsidR="007C6A39" w:rsidRPr="00736D5E">
        <w:t xml:space="preserve">, </w:t>
      </w:r>
      <w:r w:rsidR="004D637D" w:rsidRPr="00736D5E">
        <w:rPr>
          <w:i/>
        </w:rPr>
        <w:t>t</w:t>
      </w:r>
      <w:r w:rsidR="004D637D" w:rsidRPr="00736D5E">
        <w:t xml:space="preserve">(2054) = 16.81, </w:t>
      </w:r>
      <w:r w:rsidR="00D00515" w:rsidRPr="00736D5E">
        <w:t xml:space="preserve"> </w:t>
      </w:r>
      <w:r w:rsidR="00D00515" w:rsidRPr="00736D5E">
        <w:rPr>
          <w:i/>
        </w:rPr>
        <w:t>p</w:t>
      </w:r>
      <w:r w:rsidR="00D00515" w:rsidRPr="00736D5E">
        <w:t xml:space="preserve"> &lt; .01</w:t>
      </w:r>
      <w:r w:rsidRPr="00736D5E">
        <w:t xml:space="preserve">. </w:t>
      </w:r>
      <w:r w:rsidR="002D6C05" w:rsidRPr="00736D5E">
        <w:t>There was a wide range of educational attainment in this sample. On average, husbands and wives both completed 13 years of education (</w:t>
      </w:r>
      <w:r w:rsidR="002D6C05" w:rsidRPr="00736D5E">
        <w:rPr>
          <w:i/>
        </w:rPr>
        <w:t xml:space="preserve">M </w:t>
      </w:r>
      <w:r w:rsidR="002D6C05" w:rsidRPr="00736D5E">
        <w:t>= 12.8</w:t>
      </w:r>
      <w:r w:rsidR="00FB254E" w:rsidRPr="00736D5E">
        <w:t>1</w:t>
      </w:r>
      <w:r w:rsidR="002D6C05" w:rsidRPr="00736D5E">
        <w:t xml:space="preserve">, </w:t>
      </w:r>
      <w:r w:rsidR="002D6C05" w:rsidRPr="00736D5E">
        <w:rPr>
          <w:i/>
        </w:rPr>
        <w:t xml:space="preserve">SD </w:t>
      </w:r>
      <w:r w:rsidR="002D6C05" w:rsidRPr="00736D5E">
        <w:t>= 2.9</w:t>
      </w:r>
      <w:r w:rsidR="00FB254E" w:rsidRPr="00736D5E">
        <w:t>5</w:t>
      </w:r>
      <w:r w:rsidR="002D6C05" w:rsidRPr="00736D5E">
        <w:t xml:space="preserve"> and </w:t>
      </w:r>
      <w:r w:rsidR="002D6C05" w:rsidRPr="00736D5E">
        <w:rPr>
          <w:i/>
        </w:rPr>
        <w:t xml:space="preserve">M </w:t>
      </w:r>
      <w:r w:rsidR="002D6C05" w:rsidRPr="00736D5E">
        <w:t>= 12.9</w:t>
      </w:r>
      <w:r w:rsidR="00FB254E" w:rsidRPr="00736D5E">
        <w:t>8</w:t>
      </w:r>
      <w:r w:rsidR="002D6C05" w:rsidRPr="00736D5E">
        <w:t xml:space="preserve">, </w:t>
      </w:r>
      <w:r w:rsidR="002D6C05" w:rsidRPr="00736D5E">
        <w:rPr>
          <w:i/>
        </w:rPr>
        <w:t xml:space="preserve">SD </w:t>
      </w:r>
      <w:r w:rsidR="002D6C05" w:rsidRPr="00736D5E">
        <w:t>= 2.1</w:t>
      </w:r>
      <w:r w:rsidR="00FB254E" w:rsidRPr="00736D5E">
        <w:t>6</w:t>
      </w:r>
      <w:r w:rsidR="002D6C05" w:rsidRPr="00736D5E">
        <w:t xml:space="preserve">, respectively), </w:t>
      </w:r>
      <w:r w:rsidR="002D6C05" w:rsidRPr="00736D5E">
        <w:lastRenderedPageBreak/>
        <w:t>or approximately one year of college. However, 2</w:t>
      </w:r>
      <w:r w:rsidR="00C618F0" w:rsidRPr="00736D5E">
        <w:t>1.0</w:t>
      </w:r>
      <w:r w:rsidR="002D6C05" w:rsidRPr="00736D5E">
        <w:t>% of husbands and 13.</w:t>
      </w:r>
      <w:r w:rsidR="00C618F0" w:rsidRPr="00736D5E">
        <w:t>2</w:t>
      </w:r>
      <w:r w:rsidR="002D6C05" w:rsidRPr="00736D5E">
        <w:t>% of wives had less than a high school diploma, while 14.</w:t>
      </w:r>
      <w:r w:rsidR="00C618F0" w:rsidRPr="00736D5E">
        <w:t>5</w:t>
      </w:r>
      <w:r w:rsidR="002D6C05" w:rsidRPr="00736D5E">
        <w:t>% of husbands and 10.</w:t>
      </w:r>
      <w:r w:rsidR="00C618F0" w:rsidRPr="00736D5E">
        <w:t>5</w:t>
      </w:r>
      <w:r w:rsidR="002D6C05" w:rsidRPr="00736D5E">
        <w:t>% of wives had some graduate education.</w:t>
      </w:r>
      <w:r w:rsidR="000C5521" w:rsidRPr="00736D5E">
        <w:t xml:space="preserve"> </w:t>
      </w:r>
      <w:r w:rsidR="003726D5" w:rsidRPr="00736D5E">
        <w:t>The racial composition of the sample was predominantly White (</w:t>
      </w:r>
      <w:r w:rsidR="003726D5" w:rsidRPr="00736D5E">
        <w:rPr>
          <w:i/>
        </w:rPr>
        <w:t>n</w:t>
      </w:r>
      <w:r w:rsidR="003726D5" w:rsidRPr="00736D5E">
        <w:t xml:space="preserve"> = </w:t>
      </w:r>
      <w:r w:rsidR="0095600B" w:rsidRPr="00736D5E">
        <w:t>1</w:t>
      </w:r>
      <w:r w:rsidR="003726D5" w:rsidRPr="00736D5E">
        <w:t>,</w:t>
      </w:r>
      <w:r w:rsidR="00C618F0" w:rsidRPr="00736D5E">
        <w:t>785</w:t>
      </w:r>
      <w:r w:rsidR="003726D5" w:rsidRPr="00736D5E">
        <w:t>, 8</w:t>
      </w:r>
      <w:r w:rsidR="00C618F0" w:rsidRPr="00736D5E">
        <w:t>6.8</w:t>
      </w:r>
      <w:r w:rsidR="003726D5" w:rsidRPr="00736D5E">
        <w:t xml:space="preserve">%), with </w:t>
      </w:r>
      <w:r w:rsidR="00C618F0" w:rsidRPr="00736D5E">
        <w:t xml:space="preserve">271 </w:t>
      </w:r>
      <w:r w:rsidR="003726D5" w:rsidRPr="00736D5E">
        <w:t>Black (1</w:t>
      </w:r>
      <w:r w:rsidR="0095600B" w:rsidRPr="00736D5E">
        <w:t>3</w:t>
      </w:r>
      <w:r w:rsidR="003726D5" w:rsidRPr="00736D5E">
        <w:t>.</w:t>
      </w:r>
      <w:r w:rsidR="00C618F0" w:rsidRPr="00736D5E">
        <w:t>2</w:t>
      </w:r>
      <w:r w:rsidR="003726D5" w:rsidRPr="00736D5E">
        <w:t xml:space="preserve">%) respondents. </w:t>
      </w:r>
      <w:r w:rsidR="000C5521" w:rsidRPr="00736D5E">
        <w:t>The mean occupational status was</w:t>
      </w:r>
      <w:r w:rsidR="00E2679B" w:rsidRPr="00736D5E">
        <w:t xml:space="preserve"> </w:t>
      </w:r>
      <w:r w:rsidR="000C5521" w:rsidRPr="00736D5E">
        <w:t>higher for wives (</w:t>
      </w:r>
      <w:r w:rsidR="000C5521" w:rsidRPr="00736D5E">
        <w:rPr>
          <w:i/>
        </w:rPr>
        <w:t>M</w:t>
      </w:r>
      <w:r w:rsidR="000C5521" w:rsidRPr="00736D5E">
        <w:t xml:space="preserve"> = </w:t>
      </w:r>
      <w:r w:rsidR="00391F5C" w:rsidRPr="00736D5E">
        <w:t>12.19</w:t>
      </w:r>
      <w:r w:rsidR="000C5521" w:rsidRPr="00736D5E">
        <w:t xml:space="preserve">, </w:t>
      </w:r>
      <w:r w:rsidR="000C5521" w:rsidRPr="00736D5E">
        <w:rPr>
          <w:i/>
        </w:rPr>
        <w:t xml:space="preserve">SD </w:t>
      </w:r>
      <w:r w:rsidR="000C5521" w:rsidRPr="00736D5E">
        <w:t>= 3.8</w:t>
      </w:r>
      <w:r w:rsidR="00391F5C" w:rsidRPr="00736D5E">
        <w:t>5</w:t>
      </w:r>
      <w:r w:rsidR="000C5521" w:rsidRPr="00736D5E">
        <w:t>) than husbands (</w:t>
      </w:r>
      <w:r w:rsidR="000C5521" w:rsidRPr="00736D5E">
        <w:rPr>
          <w:i/>
        </w:rPr>
        <w:t xml:space="preserve">M </w:t>
      </w:r>
      <w:r w:rsidR="000C5521" w:rsidRPr="00736D5E">
        <w:t xml:space="preserve">= </w:t>
      </w:r>
      <w:r w:rsidR="00391F5C" w:rsidRPr="00736D5E">
        <w:t>9.43</w:t>
      </w:r>
      <w:r w:rsidR="000C5521" w:rsidRPr="00736D5E">
        <w:t xml:space="preserve">, </w:t>
      </w:r>
      <w:r w:rsidR="000C5521" w:rsidRPr="00736D5E">
        <w:rPr>
          <w:i/>
        </w:rPr>
        <w:t xml:space="preserve">SD </w:t>
      </w:r>
      <w:r w:rsidR="000C5521" w:rsidRPr="00736D5E">
        <w:t xml:space="preserve">= </w:t>
      </w:r>
      <w:r w:rsidR="00391F5C" w:rsidRPr="00736D5E">
        <w:t>5.76</w:t>
      </w:r>
      <w:r w:rsidR="000C5521" w:rsidRPr="00736D5E">
        <w:t xml:space="preserve">), </w:t>
      </w:r>
      <w:r w:rsidR="004D637D" w:rsidRPr="00736D5E">
        <w:rPr>
          <w:i/>
        </w:rPr>
        <w:t>t</w:t>
      </w:r>
      <w:r w:rsidR="004D637D" w:rsidRPr="00736D5E">
        <w:t xml:space="preserve">(1790.32) = -12.76, </w:t>
      </w:r>
      <w:r w:rsidR="000C5521" w:rsidRPr="00736D5E">
        <w:t xml:space="preserve"> </w:t>
      </w:r>
      <w:r w:rsidR="000C5521" w:rsidRPr="00736D5E">
        <w:rPr>
          <w:i/>
        </w:rPr>
        <w:t>p</w:t>
      </w:r>
      <w:r w:rsidR="000C5521" w:rsidRPr="00736D5E">
        <w:t xml:space="preserve"> &lt; .01. </w:t>
      </w:r>
      <w:r w:rsidR="0029266C" w:rsidRPr="00736D5E">
        <w:t xml:space="preserve">Husbands </w:t>
      </w:r>
      <w:r w:rsidR="00674F3E" w:rsidRPr="00736D5E">
        <w:t xml:space="preserve">reported </w:t>
      </w:r>
      <w:r w:rsidR="0029266C" w:rsidRPr="00736D5E">
        <w:t>a mean income of $36,</w:t>
      </w:r>
      <w:r w:rsidR="00C33B64" w:rsidRPr="00736D5E">
        <w:t xml:space="preserve">397 </w:t>
      </w:r>
      <w:r w:rsidR="0029266C" w:rsidRPr="00736D5E">
        <w:t>(</w:t>
      </w:r>
      <w:r w:rsidR="0029266C" w:rsidRPr="00736D5E">
        <w:rPr>
          <w:i/>
        </w:rPr>
        <w:t>SD</w:t>
      </w:r>
      <w:r w:rsidR="0029266C" w:rsidRPr="00736D5E">
        <w:t xml:space="preserve"> = $</w:t>
      </w:r>
      <w:r w:rsidR="00C33B64" w:rsidRPr="00736D5E">
        <w:t>29,423</w:t>
      </w:r>
      <w:r w:rsidR="0029266C" w:rsidRPr="00736D5E">
        <w:t xml:space="preserve">), while wives </w:t>
      </w:r>
      <w:r w:rsidR="00674F3E" w:rsidRPr="00736D5E">
        <w:t xml:space="preserve">reported </w:t>
      </w:r>
      <w:r w:rsidR="0029266C" w:rsidRPr="00736D5E">
        <w:t>a mean income of $20,</w:t>
      </w:r>
      <w:r w:rsidR="00C33B64" w:rsidRPr="00736D5E">
        <w:t xml:space="preserve">224 </w:t>
      </w:r>
      <w:r w:rsidR="0029266C" w:rsidRPr="00736D5E">
        <w:t>(</w:t>
      </w:r>
      <w:r w:rsidR="0029266C" w:rsidRPr="00736D5E">
        <w:rPr>
          <w:i/>
        </w:rPr>
        <w:t>SD</w:t>
      </w:r>
      <w:r w:rsidR="0029266C" w:rsidRPr="00736D5E">
        <w:t xml:space="preserve"> = </w:t>
      </w:r>
      <w:r w:rsidR="00C33B64" w:rsidRPr="00736D5E">
        <w:t>17,560</w:t>
      </w:r>
      <w:r w:rsidR="0029266C" w:rsidRPr="00736D5E">
        <w:t>)</w:t>
      </w:r>
      <w:r w:rsidR="00D00515" w:rsidRPr="00736D5E">
        <w:t xml:space="preserve">, </w:t>
      </w:r>
      <w:r w:rsidR="004D637D" w:rsidRPr="00736D5E">
        <w:rPr>
          <w:i/>
        </w:rPr>
        <w:t>t</w:t>
      </w:r>
      <w:r w:rsidR="004D637D" w:rsidRPr="00736D5E">
        <w:t>(1676.26) = 15.13</w:t>
      </w:r>
      <w:r w:rsidR="00D00515" w:rsidRPr="00736D5E">
        <w:t xml:space="preserve">, </w:t>
      </w:r>
      <w:r w:rsidR="00D00515" w:rsidRPr="00736D5E">
        <w:rPr>
          <w:i/>
        </w:rPr>
        <w:t>p</w:t>
      </w:r>
      <w:r w:rsidR="00D00515" w:rsidRPr="00736D5E">
        <w:t xml:space="preserve"> &lt; .01</w:t>
      </w:r>
      <w:r w:rsidR="0029266C" w:rsidRPr="00736D5E">
        <w:t xml:space="preserve">. </w:t>
      </w:r>
      <w:r w:rsidR="002D6C05" w:rsidRPr="00736D5E">
        <w:t xml:space="preserve">The mean of the net value of </w:t>
      </w:r>
      <w:r w:rsidR="00BE4B8A" w:rsidRPr="00736D5E">
        <w:t xml:space="preserve">couple’s </w:t>
      </w:r>
      <w:r w:rsidR="002D6C05" w:rsidRPr="00736D5E">
        <w:t>retirement accounts wealth was $24,</w:t>
      </w:r>
      <w:r w:rsidR="00C33B64" w:rsidRPr="00736D5E">
        <w:t xml:space="preserve">961 </w:t>
      </w:r>
      <w:r w:rsidR="002D6C05" w:rsidRPr="00736D5E">
        <w:t>(</w:t>
      </w:r>
      <w:r w:rsidR="002D6C05" w:rsidRPr="00736D5E">
        <w:rPr>
          <w:i/>
        </w:rPr>
        <w:t xml:space="preserve">SD </w:t>
      </w:r>
      <w:r w:rsidR="002D6C05" w:rsidRPr="00736D5E">
        <w:t>= $65,</w:t>
      </w:r>
      <w:r w:rsidR="00C33B64" w:rsidRPr="00736D5E">
        <w:t>471</w:t>
      </w:r>
      <w:r w:rsidR="002D6C05" w:rsidRPr="00736D5E">
        <w:t xml:space="preserve">), and the mean total </w:t>
      </w:r>
      <w:r w:rsidR="00BE4B8A" w:rsidRPr="00736D5E">
        <w:t xml:space="preserve">couple’s </w:t>
      </w:r>
      <w:r w:rsidR="002D6C05" w:rsidRPr="00736D5E">
        <w:t>wealth (excluding retirement accounts) was $</w:t>
      </w:r>
      <w:r w:rsidR="00C33B64" w:rsidRPr="00736D5E">
        <w:t>223,186</w:t>
      </w:r>
      <w:r w:rsidR="002D6C05" w:rsidRPr="00736D5E">
        <w:t xml:space="preserve"> (</w:t>
      </w:r>
      <w:r w:rsidR="002D6C05" w:rsidRPr="00736D5E">
        <w:rPr>
          <w:i/>
        </w:rPr>
        <w:t xml:space="preserve">SD </w:t>
      </w:r>
      <w:r w:rsidR="002D6C05" w:rsidRPr="00736D5E">
        <w:t>= $441,</w:t>
      </w:r>
      <w:r w:rsidR="00C33B64" w:rsidRPr="00736D5E">
        <w:t>900</w:t>
      </w:r>
      <w:r w:rsidR="002D6C05" w:rsidRPr="00736D5E">
        <w:t xml:space="preserve">). </w:t>
      </w:r>
      <w:r w:rsidR="00BC2A69" w:rsidRPr="00736D5E">
        <w:t>Seventy-</w:t>
      </w:r>
      <w:r w:rsidR="00C33B64" w:rsidRPr="00736D5E">
        <w:t>four</w:t>
      </w:r>
      <w:r w:rsidR="00BC2A69" w:rsidRPr="00736D5E">
        <w:t xml:space="preserve"> percent of wives worked in managerial, professional, sales or clerical/administrative positions, compared to </w:t>
      </w:r>
      <w:r w:rsidR="00C33B64" w:rsidRPr="00736D5E">
        <w:t>48.5</w:t>
      </w:r>
      <w:r w:rsidR="00BC2A69" w:rsidRPr="00736D5E">
        <w:t xml:space="preserve">% </w:t>
      </w:r>
      <w:r w:rsidR="00E2679B" w:rsidRPr="00736D5E">
        <w:t xml:space="preserve">of </w:t>
      </w:r>
      <w:r w:rsidR="00BC2A69" w:rsidRPr="00736D5E">
        <w:t>husbands; the remainder worked in positions with lower occupational status</w:t>
      </w:r>
      <w:r w:rsidR="001F02DD" w:rsidRPr="00736D5E">
        <w:t xml:space="preserve">. </w:t>
      </w:r>
      <w:r w:rsidR="005E093C" w:rsidRPr="00736D5E">
        <w:t>Husbands were</w:t>
      </w:r>
      <w:r w:rsidR="00D02A3D" w:rsidRPr="00736D5E">
        <w:t xml:space="preserve"> </w:t>
      </w:r>
      <w:r w:rsidR="005E093C" w:rsidRPr="00736D5E">
        <w:t>more likely to report looking forward to retirement than wives (7</w:t>
      </w:r>
      <w:r w:rsidR="00C33B64" w:rsidRPr="00736D5E">
        <w:t>4</w:t>
      </w:r>
      <w:r w:rsidR="005E093C" w:rsidRPr="00736D5E">
        <w:t>% vs. 6</w:t>
      </w:r>
      <w:r w:rsidR="00C33B64" w:rsidRPr="00736D5E">
        <w:t>9</w:t>
      </w:r>
      <w:r w:rsidR="005E093C" w:rsidRPr="00736D5E">
        <w:t xml:space="preserve">%, respectively; McNemar test, </w:t>
      </w:r>
      <w:r w:rsidR="005E093C" w:rsidRPr="00736D5E">
        <w:rPr>
          <w:i/>
        </w:rPr>
        <w:t>p</w:t>
      </w:r>
      <w:r w:rsidR="005E093C" w:rsidRPr="00736D5E">
        <w:t>&lt; .01)</w:t>
      </w:r>
      <w:r w:rsidR="004D637D" w:rsidRPr="00736D5E">
        <w:t xml:space="preserve">, </w:t>
      </w:r>
      <w:r w:rsidR="00375B19" w:rsidRPr="00736D5E">
        <w:t xml:space="preserve">and more likely to report having a health problem that limited their ability to engage in paid work (9.8% vs. 8.5%, respectively; McNemar test, </w:t>
      </w:r>
      <w:r w:rsidR="00375B19" w:rsidRPr="00736D5E">
        <w:rPr>
          <w:i/>
        </w:rPr>
        <w:t>p</w:t>
      </w:r>
      <w:r w:rsidR="00375B19" w:rsidRPr="00736D5E">
        <w:t xml:space="preserve"> &lt; .01). W</w:t>
      </w:r>
      <w:r w:rsidR="004D637D" w:rsidRPr="00736D5E">
        <w:t>ives (</w:t>
      </w:r>
      <w:r w:rsidR="004D637D" w:rsidRPr="00736D5E">
        <w:rPr>
          <w:i/>
        </w:rPr>
        <w:t>M</w:t>
      </w:r>
      <w:r w:rsidR="004D637D" w:rsidRPr="00736D5E">
        <w:t xml:space="preserve"> = 3.62, </w:t>
      </w:r>
      <w:r w:rsidR="004D637D" w:rsidRPr="00736D5E">
        <w:rPr>
          <w:i/>
        </w:rPr>
        <w:t xml:space="preserve">SD </w:t>
      </w:r>
      <w:r w:rsidR="004D637D" w:rsidRPr="00736D5E">
        <w:t>= 3.05) reported higher mean levels of depressive symptomatology than husbands (</w:t>
      </w:r>
      <w:r w:rsidR="004D637D" w:rsidRPr="00736D5E">
        <w:rPr>
          <w:i/>
        </w:rPr>
        <w:t xml:space="preserve">M </w:t>
      </w:r>
      <w:r w:rsidR="004D637D" w:rsidRPr="00736D5E">
        <w:t xml:space="preserve">= 3.05, </w:t>
      </w:r>
      <w:r w:rsidR="004D637D" w:rsidRPr="00736D5E">
        <w:rPr>
          <w:i/>
        </w:rPr>
        <w:t>SD</w:t>
      </w:r>
      <w:r w:rsidR="004D637D" w:rsidRPr="00736D5E">
        <w:t xml:space="preserve"> = 2.59), </w:t>
      </w:r>
      <w:r w:rsidR="004D637D" w:rsidRPr="00736D5E">
        <w:rPr>
          <w:i/>
        </w:rPr>
        <w:t>t</w:t>
      </w:r>
      <w:r w:rsidR="004D637D" w:rsidRPr="00736D5E">
        <w:t>(2002.34</w:t>
      </w:r>
      <w:r w:rsidR="00375B19" w:rsidRPr="00736D5E">
        <w:t xml:space="preserve">) = -4.55, </w:t>
      </w:r>
      <w:r w:rsidR="00375B19" w:rsidRPr="00736D5E">
        <w:rPr>
          <w:i/>
        </w:rPr>
        <w:t>p</w:t>
      </w:r>
      <w:r w:rsidR="00375B19" w:rsidRPr="00736D5E">
        <w:t xml:space="preserve"> &lt; .01</w:t>
      </w:r>
      <w:r w:rsidR="005E093C" w:rsidRPr="00736D5E">
        <w:t>.</w:t>
      </w:r>
      <w:r w:rsidR="002B6F82" w:rsidRPr="00736D5E">
        <w:t xml:space="preserve"> </w:t>
      </w:r>
    </w:p>
    <w:p w:rsidR="007A7001" w:rsidRPr="00736D5E" w:rsidRDefault="00122B26" w:rsidP="001A7A7A">
      <w:pPr>
        <w:widowControl w:val="0"/>
        <w:spacing w:line="480" w:lineRule="auto"/>
        <w:ind w:firstLine="720"/>
      </w:pPr>
      <w:r w:rsidRPr="00736D5E">
        <w:t xml:space="preserve">Pearson’s correlations </w:t>
      </w:r>
      <w:r w:rsidR="00BF782C" w:rsidRPr="00736D5E">
        <w:t xml:space="preserve">were used to examine the </w:t>
      </w:r>
      <w:r w:rsidR="00A11A1C" w:rsidRPr="00736D5E">
        <w:t xml:space="preserve">bivariate </w:t>
      </w:r>
      <w:r w:rsidR="00BF782C" w:rsidRPr="00736D5E">
        <w:t xml:space="preserve">relationship between </w:t>
      </w:r>
      <w:r w:rsidR="00E336AA" w:rsidRPr="00736D5E">
        <w:t>soci</w:t>
      </w:r>
      <w:r w:rsidR="00F93E00" w:rsidRPr="00736D5E">
        <w:t xml:space="preserve">al stratification factors </w:t>
      </w:r>
      <w:r w:rsidR="00E336AA" w:rsidRPr="00736D5E">
        <w:t>and anticipatory socialization for retirement</w:t>
      </w:r>
      <w:r w:rsidR="00BF782C" w:rsidRPr="00736D5E">
        <w:t xml:space="preserve">. </w:t>
      </w:r>
      <w:r w:rsidR="007A7001" w:rsidRPr="00736D5E">
        <w:t xml:space="preserve">Higher income, higher education, and White race were </w:t>
      </w:r>
      <w:r w:rsidR="00B41F6D" w:rsidRPr="00736D5E">
        <w:t xml:space="preserve">all </w:t>
      </w:r>
      <w:r w:rsidR="007A7001" w:rsidRPr="00736D5E">
        <w:t>associated with more anticipatory socialization for both husbands and wives, but the size of these correlations were small (correlations between .08 and .1</w:t>
      </w:r>
      <w:r w:rsidR="00FD3AB1" w:rsidRPr="00736D5E">
        <w:t>5</w:t>
      </w:r>
      <w:r w:rsidR="007A7001" w:rsidRPr="00736D5E">
        <w:t xml:space="preserve">, </w:t>
      </w:r>
      <w:r w:rsidR="007A7001" w:rsidRPr="00736D5E">
        <w:rPr>
          <w:i/>
        </w:rPr>
        <w:t>p</w:t>
      </w:r>
      <w:r w:rsidR="007A7001" w:rsidRPr="00736D5E">
        <w:t xml:space="preserve">&lt; .01). </w:t>
      </w:r>
      <w:r w:rsidR="00075C9C" w:rsidRPr="00736D5E">
        <w:t>F</w:t>
      </w:r>
      <w:r w:rsidR="00674F3E" w:rsidRPr="00736D5E">
        <w:t xml:space="preserve">or wives, </w:t>
      </w:r>
      <w:r w:rsidR="007A7001" w:rsidRPr="00736D5E">
        <w:t>higher occupational status was a significant predictor of more anticipatory socialization</w:t>
      </w:r>
      <w:r w:rsidR="00F93E00" w:rsidRPr="00736D5E">
        <w:t xml:space="preserve">, but </w:t>
      </w:r>
      <w:r w:rsidR="007A7001" w:rsidRPr="00736D5E">
        <w:t>the magnitude of the effect was very small (</w:t>
      </w:r>
      <w:r w:rsidR="007A7001" w:rsidRPr="00736D5E">
        <w:rPr>
          <w:i/>
        </w:rPr>
        <w:t>r</w:t>
      </w:r>
      <w:r w:rsidR="007A7001" w:rsidRPr="00736D5E">
        <w:t xml:space="preserve"> =.0</w:t>
      </w:r>
      <w:r w:rsidR="00FD3AB1" w:rsidRPr="00736D5E">
        <w:t>8</w:t>
      </w:r>
      <w:r w:rsidR="007A7001" w:rsidRPr="00736D5E">
        <w:t xml:space="preserve">, </w:t>
      </w:r>
      <w:r w:rsidR="007A7001" w:rsidRPr="00736D5E">
        <w:rPr>
          <w:i/>
        </w:rPr>
        <w:t>p</w:t>
      </w:r>
      <w:r w:rsidR="007A7001" w:rsidRPr="00736D5E">
        <w:t>&lt; .05).</w:t>
      </w:r>
      <w:r w:rsidR="00075C9C" w:rsidRPr="00736D5E">
        <w:t xml:space="preserve"> For wives, older age was also associated with more anticipatory socialization (</w:t>
      </w:r>
      <w:r w:rsidR="00075C9C" w:rsidRPr="00736D5E">
        <w:rPr>
          <w:i/>
        </w:rPr>
        <w:t>r</w:t>
      </w:r>
      <w:r w:rsidR="00075C9C" w:rsidRPr="00736D5E">
        <w:t xml:space="preserve"> = .16, </w:t>
      </w:r>
      <w:r w:rsidR="00075C9C" w:rsidRPr="00736D5E">
        <w:rPr>
          <w:i/>
        </w:rPr>
        <w:t>p</w:t>
      </w:r>
      <w:r w:rsidR="00075C9C" w:rsidRPr="00736D5E">
        <w:t>&lt; .01).</w:t>
      </w:r>
      <w:r w:rsidR="007A7001" w:rsidRPr="00736D5E">
        <w:t xml:space="preserve"> </w:t>
      </w:r>
    </w:p>
    <w:p w:rsidR="001A6537" w:rsidRPr="00736D5E" w:rsidRDefault="000860D8" w:rsidP="001A7A7A">
      <w:pPr>
        <w:widowControl w:val="0"/>
        <w:spacing w:line="480" w:lineRule="auto"/>
        <w:ind w:firstLine="720"/>
      </w:pPr>
      <w:r w:rsidRPr="00736D5E">
        <w:lastRenderedPageBreak/>
        <w:t xml:space="preserve">Anticipatory socialization </w:t>
      </w:r>
      <w:r w:rsidR="00C939C9" w:rsidRPr="00736D5E">
        <w:t xml:space="preserve">scores of husbands </w:t>
      </w:r>
      <w:r w:rsidR="00E05A0D" w:rsidRPr="00736D5E">
        <w:t xml:space="preserve">and wives </w:t>
      </w:r>
      <w:r w:rsidR="00C939C9" w:rsidRPr="00736D5E">
        <w:t xml:space="preserve">were moderately </w:t>
      </w:r>
      <w:r w:rsidR="00BC2A69" w:rsidRPr="00736D5E">
        <w:t xml:space="preserve">positively </w:t>
      </w:r>
      <w:r w:rsidR="00C939C9" w:rsidRPr="00736D5E">
        <w:t xml:space="preserve">correlated </w:t>
      </w:r>
      <w:r w:rsidR="00075C9C" w:rsidRPr="00736D5E">
        <w:t>(</w:t>
      </w:r>
      <w:r w:rsidR="00C939C9" w:rsidRPr="00736D5E">
        <w:rPr>
          <w:i/>
        </w:rPr>
        <w:t xml:space="preserve">r </w:t>
      </w:r>
      <w:r w:rsidR="00C939C9" w:rsidRPr="00736D5E">
        <w:t>= .</w:t>
      </w:r>
      <w:r w:rsidR="00FD3AB1" w:rsidRPr="00736D5E">
        <w:t>42</w:t>
      </w:r>
      <w:r w:rsidR="00075C9C" w:rsidRPr="00736D5E">
        <w:t xml:space="preserve">), </w:t>
      </w:r>
      <w:r w:rsidR="00760F9A" w:rsidRPr="00736D5E">
        <w:rPr>
          <w:i/>
        </w:rPr>
        <w:t>p</w:t>
      </w:r>
      <w:r w:rsidR="00760F9A" w:rsidRPr="00736D5E">
        <w:t>&lt; .01.</w:t>
      </w:r>
      <w:r w:rsidR="00075C9C" w:rsidRPr="00736D5E">
        <w:t xml:space="preserve"> A</w:t>
      </w:r>
      <w:r w:rsidR="00847E13" w:rsidRPr="00736D5E">
        <w:t xml:space="preserve">ttitude toward </w:t>
      </w:r>
      <w:r w:rsidR="00EE07FE" w:rsidRPr="00736D5E">
        <w:t xml:space="preserve">retirement of both husbands and wives (one’s own and one’s spouse) </w:t>
      </w:r>
      <w:r w:rsidR="00E05A0D" w:rsidRPr="00736D5E">
        <w:t xml:space="preserve">was positively </w:t>
      </w:r>
      <w:r w:rsidR="00DA75D4" w:rsidRPr="00736D5E">
        <w:t xml:space="preserve">but moderately </w:t>
      </w:r>
      <w:r w:rsidR="00E05A0D" w:rsidRPr="00736D5E">
        <w:t xml:space="preserve">associated with </w:t>
      </w:r>
      <w:r w:rsidR="00EE07FE" w:rsidRPr="00736D5E">
        <w:t>anticipatory socialization (correlations between .</w:t>
      </w:r>
      <w:r w:rsidR="00812B05" w:rsidRPr="00736D5E">
        <w:t xml:space="preserve">09 </w:t>
      </w:r>
      <w:r w:rsidR="00EE07FE" w:rsidRPr="00736D5E">
        <w:t>and .2</w:t>
      </w:r>
      <w:r w:rsidR="00812B05" w:rsidRPr="00736D5E">
        <w:t>8</w:t>
      </w:r>
      <w:r w:rsidR="00EE07FE" w:rsidRPr="00736D5E">
        <w:t xml:space="preserve">, </w:t>
      </w:r>
      <w:r w:rsidR="00EE07FE" w:rsidRPr="00736D5E">
        <w:rPr>
          <w:i/>
        </w:rPr>
        <w:t>p</w:t>
      </w:r>
      <w:r w:rsidR="00EE07FE" w:rsidRPr="00736D5E">
        <w:t>&lt; .01)</w:t>
      </w:r>
      <w:r w:rsidR="00E05A0D" w:rsidRPr="00736D5E">
        <w:t xml:space="preserve">. One’s attitude toward retirement was also positively </w:t>
      </w:r>
      <w:r w:rsidR="00DA75D4" w:rsidRPr="00736D5E">
        <w:t xml:space="preserve">and moderately </w:t>
      </w:r>
      <w:r w:rsidR="00E05A0D" w:rsidRPr="00736D5E">
        <w:t>correlated with s</w:t>
      </w:r>
      <w:r w:rsidR="00EE07FE" w:rsidRPr="00736D5E">
        <w:t>pouse’s anticipatory socialization (</w:t>
      </w:r>
      <w:r w:rsidR="00EE07FE" w:rsidRPr="00736D5E">
        <w:rPr>
          <w:i/>
        </w:rPr>
        <w:t>r</w:t>
      </w:r>
      <w:r w:rsidR="00EE07FE" w:rsidRPr="00736D5E">
        <w:t xml:space="preserve"> = .</w:t>
      </w:r>
      <w:r w:rsidR="002C0B86" w:rsidRPr="00736D5E">
        <w:t>17 for husbands and r = .09 for wives, both</w:t>
      </w:r>
      <w:r w:rsidR="00EE07FE" w:rsidRPr="00736D5E">
        <w:t xml:space="preserve"> </w:t>
      </w:r>
      <w:r w:rsidR="00EE07FE" w:rsidRPr="00736D5E">
        <w:rPr>
          <w:i/>
        </w:rPr>
        <w:t>p</w:t>
      </w:r>
      <w:r w:rsidR="00EE07FE" w:rsidRPr="00736D5E">
        <w:t>&lt; .01).</w:t>
      </w:r>
      <w:r w:rsidR="00796268" w:rsidRPr="00736D5E">
        <w:t xml:space="preserve"> One of the items in the anticipatory socialization scale related to how much respondents had talked with their spouse about retirement; for the marital dyads in this study, responses of spouses were correlated (</w:t>
      </w:r>
      <w:r w:rsidR="00796268" w:rsidRPr="00736D5E">
        <w:rPr>
          <w:i/>
        </w:rPr>
        <w:t>r</w:t>
      </w:r>
      <w:r w:rsidR="00796268" w:rsidRPr="00736D5E">
        <w:t xml:space="preserve"> = .50, </w:t>
      </w:r>
      <w:r w:rsidR="00796268" w:rsidRPr="00736D5E">
        <w:rPr>
          <w:i/>
        </w:rPr>
        <w:t>p</w:t>
      </w:r>
      <w:r w:rsidR="00796268" w:rsidRPr="00736D5E">
        <w:t>&lt; .01).</w:t>
      </w:r>
      <w:r w:rsidR="00A11A1C" w:rsidRPr="00736D5E">
        <w:t xml:space="preserve"> </w:t>
      </w:r>
    </w:p>
    <w:p w:rsidR="00DC50D5" w:rsidRPr="00736D5E" w:rsidRDefault="00DC50D5" w:rsidP="001A7A7A">
      <w:pPr>
        <w:widowControl w:val="0"/>
        <w:spacing w:line="480" w:lineRule="auto"/>
        <w:rPr>
          <w:i/>
        </w:rPr>
      </w:pPr>
      <w:r w:rsidRPr="00736D5E">
        <w:rPr>
          <w:i/>
        </w:rPr>
        <w:t>Hypothesis 1</w:t>
      </w:r>
      <w:r w:rsidR="00A11C30" w:rsidRPr="00736D5E">
        <w:rPr>
          <w:i/>
        </w:rPr>
        <w:t xml:space="preserve"> </w:t>
      </w:r>
    </w:p>
    <w:p w:rsidR="007D5E4D" w:rsidRPr="00736D5E" w:rsidRDefault="008E5857" w:rsidP="001A7A7A">
      <w:pPr>
        <w:widowControl w:val="0"/>
        <w:spacing w:line="480" w:lineRule="auto"/>
        <w:ind w:firstLine="720"/>
      </w:pPr>
      <w:r w:rsidRPr="00736D5E">
        <w:t>A p</w:t>
      </w:r>
      <w:r w:rsidR="007D5E4D" w:rsidRPr="00736D5E">
        <w:t xml:space="preserve">aired </w:t>
      </w:r>
      <w:r w:rsidR="007D5E4D" w:rsidRPr="00736D5E">
        <w:rPr>
          <w:i/>
        </w:rPr>
        <w:t>t</w:t>
      </w:r>
      <w:r w:rsidR="007D5E4D" w:rsidRPr="00736D5E">
        <w:t xml:space="preserve">-test </w:t>
      </w:r>
      <w:r w:rsidRPr="00736D5E">
        <w:t xml:space="preserve">was </w:t>
      </w:r>
      <w:r w:rsidR="007D5E4D" w:rsidRPr="00736D5E">
        <w:t xml:space="preserve">conducted to compare the mean scores of anticipatory socialization for husbands and wives to </w:t>
      </w:r>
      <w:r w:rsidR="00DA75D4" w:rsidRPr="00736D5E">
        <w:t>determine</w:t>
      </w:r>
      <w:r w:rsidR="007D5E4D" w:rsidRPr="00736D5E">
        <w:t xml:space="preserve"> if husbands engaged in more anticipatory socialization, on average, than wives. For husbands, the mean score was </w:t>
      </w:r>
      <w:r w:rsidRPr="00736D5E">
        <w:t>4.61</w:t>
      </w:r>
      <w:r w:rsidR="007D5E4D" w:rsidRPr="00736D5E">
        <w:t xml:space="preserve"> (</w:t>
      </w:r>
      <w:r w:rsidR="007D5E4D" w:rsidRPr="00736D5E">
        <w:rPr>
          <w:i/>
        </w:rPr>
        <w:t>SD</w:t>
      </w:r>
      <w:r w:rsidR="007D5E4D" w:rsidRPr="00736D5E">
        <w:t xml:space="preserve"> = 2.8</w:t>
      </w:r>
      <w:r w:rsidRPr="00736D5E">
        <w:t>0</w:t>
      </w:r>
      <w:r w:rsidR="007D5E4D" w:rsidRPr="00736D5E">
        <w:t xml:space="preserve">), while the mean for wives was </w:t>
      </w:r>
      <w:r w:rsidRPr="00736D5E">
        <w:t>4.21</w:t>
      </w:r>
      <w:r w:rsidR="007D5E4D" w:rsidRPr="00736D5E">
        <w:t xml:space="preserve"> (</w:t>
      </w:r>
      <w:r w:rsidR="007D5E4D" w:rsidRPr="00736D5E">
        <w:rPr>
          <w:i/>
        </w:rPr>
        <w:t>SD</w:t>
      </w:r>
      <w:r w:rsidR="007D5E4D" w:rsidRPr="00736D5E">
        <w:t xml:space="preserve"> = 2.8</w:t>
      </w:r>
      <w:r w:rsidRPr="00736D5E">
        <w:t>9</w:t>
      </w:r>
      <w:r w:rsidR="007D5E4D" w:rsidRPr="00736D5E">
        <w:t xml:space="preserve">), </w:t>
      </w:r>
      <w:r w:rsidRPr="00736D5E">
        <w:t xml:space="preserve">paired </w:t>
      </w:r>
      <w:r w:rsidR="007D5E4D" w:rsidRPr="00736D5E">
        <w:rPr>
          <w:i/>
        </w:rPr>
        <w:t>t</w:t>
      </w:r>
      <w:r w:rsidR="007D5E4D" w:rsidRPr="00736D5E">
        <w:t>(</w:t>
      </w:r>
      <w:r w:rsidRPr="00736D5E">
        <w:t>1027</w:t>
      </w:r>
      <w:r w:rsidR="007D5E4D" w:rsidRPr="00736D5E">
        <w:t>) =</w:t>
      </w:r>
      <w:r w:rsidRPr="00736D5E">
        <w:t xml:space="preserve"> 4.18</w:t>
      </w:r>
      <w:r w:rsidR="007D5E4D" w:rsidRPr="00736D5E">
        <w:t xml:space="preserve">, </w:t>
      </w:r>
      <w:r w:rsidR="007D5E4D" w:rsidRPr="00736D5E">
        <w:rPr>
          <w:i/>
        </w:rPr>
        <w:t>p</w:t>
      </w:r>
      <w:r w:rsidRPr="00736D5E">
        <w:rPr>
          <w:i/>
        </w:rPr>
        <w:t xml:space="preserve"> </w:t>
      </w:r>
      <w:r w:rsidR="007D5E4D" w:rsidRPr="00736D5E">
        <w:t xml:space="preserve">&lt; .01. This finding </w:t>
      </w:r>
      <w:r w:rsidR="00DA75D4" w:rsidRPr="00736D5E">
        <w:t xml:space="preserve">supports </w:t>
      </w:r>
      <w:r w:rsidR="007D5E4D" w:rsidRPr="00736D5E">
        <w:t xml:space="preserve">the hypothesized relationship, but the magnitude of the difference is small. </w:t>
      </w:r>
    </w:p>
    <w:p w:rsidR="00E05A0D" w:rsidRPr="00736D5E" w:rsidRDefault="00E05A0D" w:rsidP="001A7A7A">
      <w:pPr>
        <w:widowControl w:val="0"/>
        <w:spacing w:line="480" w:lineRule="auto"/>
        <w:jc w:val="center"/>
      </w:pPr>
      <w:r w:rsidRPr="00736D5E">
        <w:t>[INSERT TABLE 1 ABOUT HERE]</w:t>
      </w:r>
    </w:p>
    <w:p w:rsidR="007E1503" w:rsidRPr="00736D5E" w:rsidRDefault="00386E53" w:rsidP="006F01BF">
      <w:pPr>
        <w:widowControl w:val="0"/>
        <w:spacing w:line="480" w:lineRule="auto"/>
        <w:ind w:right="-180" w:firstLine="720"/>
      </w:pPr>
      <w:r w:rsidRPr="00736D5E">
        <w:t>M</w:t>
      </w:r>
      <w:r w:rsidR="00A11A1C" w:rsidRPr="00736D5E">
        <w:t xml:space="preserve">ultivariate MLM regression analyses </w:t>
      </w:r>
      <w:r w:rsidRPr="00736D5E">
        <w:t>were</w:t>
      </w:r>
      <w:r w:rsidR="00C95A6D" w:rsidRPr="00736D5E">
        <w:t xml:space="preserve"> used to test hypothesis 1 (see Table </w:t>
      </w:r>
      <w:r w:rsidR="00BE4B8A" w:rsidRPr="00736D5E">
        <w:t>1</w:t>
      </w:r>
      <w:r w:rsidR="00C95A6D" w:rsidRPr="00736D5E">
        <w:t>)</w:t>
      </w:r>
      <w:r w:rsidR="00A11A1C" w:rsidRPr="00736D5E">
        <w:t xml:space="preserve">. </w:t>
      </w:r>
      <w:r w:rsidR="007D5E4D" w:rsidRPr="00736D5E">
        <w:t>For Model 2, the intercept (i.e., predicted mean anticipatory socialization score) was greater for husbands than for wives. The magnitude of the difference in mean anticipatory socialization scores (</w:t>
      </w:r>
      <w:r w:rsidR="008E5857" w:rsidRPr="00736D5E">
        <w:t>3.12</w:t>
      </w:r>
      <w:r w:rsidR="007D5E4D" w:rsidRPr="00736D5E">
        <w:t xml:space="preserve"> vs. </w:t>
      </w:r>
      <w:r w:rsidR="008E5857" w:rsidRPr="00736D5E">
        <w:t>2.56</w:t>
      </w:r>
      <w:r w:rsidR="007D5E4D" w:rsidRPr="00736D5E">
        <w:t>, for husbands and wives) was tested and found to be statistically significantly different for husbands and wives, χ</w:t>
      </w:r>
      <w:r w:rsidR="007D5E4D" w:rsidRPr="00736D5E">
        <w:rPr>
          <w:vertAlign w:val="superscript"/>
        </w:rPr>
        <w:t>2</w:t>
      </w:r>
      <w:r w:rsidR="007D5E4D" w:rsidRPr="00736D5E">
        <w:t xml:space="preserve">(1, </w:t>
      </w:r>
      <w:r w:rsidR="007D5E4D" w:rsidRPr="00736D5E">
        <w:rPr>
          <w:i/>
          <w:iCs/>
        </w:rPr>
        <w:t>N</w:t>
      </w:r>
      <w:r w:rsidR="007D5E4D" w:rsidRPr="00736D5E">
        <w:t>=</w:t>
      </w:r>
      <w:r w:rsidR="00584DD9" w:rsidRPr="00736D5E">
        <w:t>2,056</w:t>
      </w:r>
      <w:r w:rsidR="007D5E4D" w:rsidRPr="00736D5E">
        <w:t xml:space="preserve">) = </w:t>
      </w:r>
      <w:r w:rsidR="00584DD9" w:rsidRPr="00736D5E">
        <w:t>310.54</w:t>
      </w:r>
      <w:r w:rsidR="007D5E4D" w:rsidRPr="00736D5E">
        <w:t xml:space="preserve">, </w:t>
      </w:r>
      <w:r w:rsidR="007D5E4D" w:rsidRPr="00736D5E">
        <w:rPr>
          <w:i/>
          <w:iCs/>
        </w:rPr>
        <w:t>p</w:t>
      </w:r>
      <w:r w:rsidR="007D5E4D" w:rsidRPr="00736D5E">
        <w:t>&lt;.01.</w:t>
      </w:r>
      <w:r w:rsidR="000A147A" w:rsidRPr="00736D5E">
        <w:t xml:space="preserve"> </w:t>
      </w:r>
      <w:r w:rsidR="007C3418" w:rsidRPr="00736D5E">
        <w:t>The chi-square tests for the random effects (variance components) are statistically significant, indicating that there is significant variability around the average anticipatory socialization scores for husbands and wives</w:t>
      </w:r>
      <w:r w:rsidR="008619A0" w:rsidRPr="00736D5E">
        <w:t>, even after controlling for all the other factors in the final model</w:t>
      </w:r>
      <w:r w:rsidR="007C3418" w:rsidRPr="00736D5E">
        <w:t xml:space="preserve"> (Lyons &amp; Sayer, 2005). </w:t>
      </w:r>
    </w:p>
    <w:p w:rsidR="000A147A" w:rsidRPr="00736D5E" w:rsidRDefault="000A147A" w:rsidP="001A7A7A">
      <w:pPr>
        <w:widowControl w:val="0"/>
        <w:spacing w:line="480" w:lineRule="auto"/>
        <w:rPr>
          <w:i/>
        </w:rPr>
      </w:pPr>
      <w:r w:rsidRPr="00736D5E">
        <w:rPr>
          <w:i/>
        </w:rPr>
        <w:lastRenderedPageBreak/>
        <w:t>Hypothesis 2</w:t>
      </w:r>
    </w:p>
    <w:p w:rsidR="00C64703" w:rsidRPr="00736D5E" w:rsidRDefault="00C46407" w:rsidP="001A7A7A">
      <w:pPr>
        <w:widowControl w:val="0"/>
        <w:spacing w:line="480" w:lineRule="auto"/>
        <w:ind w:firstLine="720"/>
      </w:pPr>
      <w:r w:rsidRPr="00736D5E">
        <w:t xml:space="preserve">Multivariate MLM results indicated partial support for the hypothesis </w:t>
      </w:r>
      <w:r w:rsidR="000A147A" w:rsidRPr="00736D5E">
        <w:t>that higher socioeconomic status would predict more anticipatory socialization for retirement</w:t>
      </w:r>
      <w:r w:rsidRPr="00736D5E">
        <w:t xml:space="preserve">. </w:t>
      </w:r>
      <w:r w:rsidR="007E1503" w:rsidRPr="00736D5E">
        <w:t>For husbands in</w:t>
      </w:r>
      <w:r w:rsidR="009F1DAC" w:rsidRPr="00736D5E">
        <w:t xml:space="preserve"> the final model</w:t>
      </w:r>
      <w:r w:rsidR="007D5665" w:rsidRPr="00736D5E">
        <w:t>,</w:t>
      </w:r>
      <w:r w:rsidR="009F1DAC" w:rsidRPr="00736D5E">
        <w:t xml:space="preserve"> the predicted anticipatory socialization score was </w:t>
      </w:r>
      <w:r w:rsidR="00584DD9" w:rsidRPr="00736D5E">
        <w:t>3.12</w:t>
      </w:r>
      <w:r w:rsidR="009F1DAC" w:rsidRPr="00736D5E">
        <w:t xml:space="preserve"> when all predictors were zero (i.e., White race; average age, </w:t>
      </w:r>
      <w:r w:rsidR="00FF7F86" w:rsidRPr="00736D5E">
        <w:t xml:space="preserve">education, occupational status, </w:t>
      </w:r>
      <w:r w:rsidR="009F1DAC" w:rsidRPr="00736D5E">
        <w:t xml:space="preserve">income, </w:t>
      </w:r>
      <w:r w:rsidR="00584DD9" w:rsidRPr="00736D5E">
        <w:t xml:space="preserve">depressive symptomatology, </w:t>
      </w:r>
      <w:r w:rsidR="00BE4B8A" w:rsidRPr="00736D5E">
        <w:t>couple</w:t>
      </w:r>
      <w:r w:rsidR="00FF7F86" w:rsidRPr="00736D5E">
        <w:t xml:space="preserve"> wealth, </w:t>
      </w:r>
      <w:r w:rsidR="00BE4B8A" w:rsidRPr="00736D5E">
        <w:t xml:space="preserve">couple </w:t>
      </w:r>
      <w:r w:rsidR="00FF7F86" w:rsidRPr="00736D5E">
        <w:t>retirement account</w:t>
      </w:r>
      <w:r w:rsidR="001A027E" w:rsidRPr="00736D5E">
        <w:t xml:space="preserve"> wealth</w:t>
      </w:r>
      <w:r w:rsidR="00FF7F86" w:rsidRPr="00736D5E">
        <w:t>;</w:t>
      </w:r>
      <w:r w:rsidR="009F1DAC" w:rsidRPr="00736D5E">
        <w:t xml:space="preserve"> living in a couple where neither spouse was looking forward to retirement</w:t>
      </w:r>
      <w:r w:rsidR="00FF7F86" w:rsidRPr="00736D5E">
        <w:t>; and no health conditions that limited paid work</w:t>
      </w:r>
      <w:r w:rsidR="009F1DAC" w:rsidRPr="00736D5E">
        <w:t xml:space="preserve">). </w:t>
      </w:r>
      <w:r w:rsidR="00DC50D5" w:rsidRPr="00736D5E">
        <w:t xml:space="preserve">For husbands, </w:t>
      </w:r>
      <w:r w:rsidR="00C64703" w:rsidRPr="00736D5E">
        <w:t xml:space="preserve">each additional year of </w:t>
      </w:r>
      <w:r w:rsidR="00584DD9" w:rsidRPr="00736D5E">
        <w:t xml:space="preserve">age above the sample average for husbands (i.e., 55.68) predicted an increase of .06 points of anticipatory socialization, while each additional year of education </w:t>
      </w:r>
      <w:r w:rsidR="00C64703" w:rsidRPr="00736D5E">
        <w:t>above the sample average predicted an increase of .1</w:t>
      </w:r>
      <w:r w:rsidR="00584DD9" w:rsidRPr="00736D5E">
        <w:t>1</w:t>
      </w:r>
      <w:r w:rsidR="00C64703" w:rsidRPr="00736D5E">
        <w:t xml:space="preserve"> points</w:t>
      </w:r>
      <w:r w:rsidR="000C5521" w:rsidRPr="00736D5E">
        <w:t xml:space="preserve">. </w:t>
      </w:r>
      <w:r w:rsidR="00D577BD" w:rsidRPr="00736D5E">
        <w:t xml:space="preserve">Higher than average income and couple retirement account wealth predicted an increase in anticipatory socialization. Being Black decreased anticipatory socialization by .54 points, and higher than average occupational status decreased anticipatory socialization by .03 points. Spouse’s occupational status, spouse’s income, and </w:t>
      </w:r>
      <w:r w:rsidR="00BE4B8A" w:rsidRPr="00736D5E">
        <w:t>couple</w:t>
      </w:r>
      <w:r w:rsidR="000C5521" w:rsidRPr="00736D5E">
        <w:t xml:space="preserve"> wealth</w:t>
      </w:r>
      <w:r w:rsidR="006E55C8" w:rsidRPr="00736D5E">
        <w:t xml:space="preserve"> (excluding retirement accounts)</w:t>
      </w:r>
      <w:r w:rsidR="00C64703" w:rsidRPr="00736D5E">
        <w:t xml:space="preserve"> were not statistically significant</w:t>
      </w:r>
      <w:r w:rsidR="0052090B" w:rsidRPr="00736D5E">
        <w:t xml:space="preserve"> predictors</w:t>
      </w:r>
      <w:r w:rsidR="00C64703" w:rsidRPr="00736D5E">
        <w:t>.</w:t>
      </w:r>
      <w:r w:rsidR="00525AF9">
        <w:t xml:space="preserve"> </w:t>
      </w:r>
      <w:r w:rsidR="00C64703" w:rsidRPr="00736D5E">
        <w:t xml:space="preserve"> </w:t>
      </w:r>
    </w:p>
    <w:p w:rsidR="00913A1F" w:rsidRPr="00736D5E" w:rsidRDefault="008619A0" w:rsidP="001A7A7A">
      <w:pPr>
        <w:widowControl w:val="0"/>
        <w:spacing w:line="480" w:lineRule="auto"/>
        <w:ind w:firstLine="720"/>
      </w:pPr>
      <w:r w:rsidRPr="00736D5E">
        <w:t xml:space="preserve">In the final model, </w:t>
      </w:r>
      <w:r w:rsidR="00913A1F" w:rsidRPr="00736D5E">
        <w:t>t</w:t>
      </w:r>
      <w:r w:rsidR="009F1DAC" w:rsidRPr="00736D5E">
        <w:t xml:space="preserve">he predicted </w:t>
      </w:r>
      <w:r w:rsidR="00913A1F" w:rsidRPr="00736D5E">
        <w:t xml:space="preserve">anticipatory socialization </w:t>
      </w:r>
      <w:r w:rsidR="009F1DAC" w:rsidRPr="00736D5E">
        <w:t xml:space="preserve">score </w:t>
      </w:r>
      <w:r w:rsidRPr="00736D5E">
        <w:t xml:space="preserve">for wives </w:t>
      </w:r>
      <w:r w:rsidR="009F1DAC" w:rsidRPr="00736D5E">
        <w:t xml:space="preserve">was </w:t>
      </w:r>
      <w:r w:rsidR="00D577BD" w:rsidRPr="00736D5E">
        <w:t>2.56</w:t>
      </w:r>
      <w:r w:rsidR="009F1DAC" w:rsidRPr="00736D5E">
        <w:t xml:space="preserve"> when all predictors were zero. </w:t>
      </w:r>
      <w:r w:rsidR="00BC2A69" w:rsidRPr="00736D5E">
        <w:t xml:space="preserve">For wives, </w:t>
      </w:r>
      <w:r w:rsidRPr="00736D5E">
        <w:t xml:space="preserve">each additional year of </w:t>
      </w:r>
      <w:r w:rsidR="00D577BD" w:rsidRPr="00736D5E">
        <w:t xml:space="preserve">age above the sample mean predicted an increase of .12 points, </w:t>
      </w:r>
      <w:r w:rsidR="00C338ED" w:rsidRPr="00736D5E">
        <w:t xml:space="preserve">while race </w:t>
      </w:r>
      <w:r w:rsidR="002448CC" w:rsidRPr="00736D5E">
        <w:t>(being Black) decreased the predicted score by .</w:t>
      </w:r>
      <w:r w:rsidR="00D577BD" w:rsidRPr="00736D5E">
        <w:t xml:space="preserve">85 </w:t>
      </w:r>
      <w:r w:rsidR="002448CC" w:rsidRPr="00736D5E">
        <w:t>points</w:t>
      </w:r>
      <w:r w:rsidR="0052090B" w:rsidRPr="00736D5E">
        <w:t>.</w:t>
      </w:r>
      <w:r w:rsidR="002448CC" w:rsidRPr="00736D5E">
        <w:t xml:space="preserve"> Both the wife’s annual income and the </w:t>
      </w:r>
      <w:r w:rsidR="00BE4B8A" w:rsidRPr="00736D5E">
        <w:t>couple</w:t>
      </w:r>
      <w:r w:rsidR="002448CC" w:rsidRPr="00736D5E">
        <w:t xml:space="preserve">’s retirement account wealth increased the likelihood of anticipatory socialization. </w:t>
      </w:r>
      <w:r w:rsidR="008E274B" w:rsidRPr="00736D5E">
        <w:t>Education, o</w:t>
      </w:r>
      <w:r w:rsidR="00644A45" w:rsidRPr="00736D5E">
        <w:t>ccupational status</w:t>
      </w:r>
      <w:r w:rsidR="008E274B" w:rsidRPr="00736D5E">
        <w:t xml:space="preserve">, spouse income, </w:t>
      </w:r>
      <w:r w:rsidR="00644A45" w:rsidRPr="00736D5E">
        <w:t xml:space="preserve">and </w:t>
      </w:r>
      <w:r w:rsidR="00BE4B8A" w:rsidRPr="00736D5E">
        <w:t xml:space="preserve">couple </w:t>
      </w:r>
      <w:r w:rsidR="00644A45" w:rsidRPr="00736D5E">
        <w:t>wealth (excluding retirement accounts) were not significant predictors</w:t>
      </w:r>
      <w:r w:rsidR="008E274B" w:rsidRPr="00736D5E">
        <w:t>, but higher than average spouse occupational status increased anticipatory socialization by .87 points</w:t>
      </w:r>
      <w:r w:rsidR="00644A45" w:rsidRPr="00736D5E">
        <w:t xml:space="preserve">. </w:t>
      </w:r>
    </w:p>
    <w:p w:rsidR="004B68CC" w:rsidRDefault="00C338ED" w:rsidP="00725359">
      <w:pPr>
        <w:widowControl w:val="0"/>
        <w:spacing w:line="480" w:lineRule="auto"/>
        <w:ind w:firstLine="720"/>
        <w:rPr>
          <w:i/>
        </w:rPr>
      </w:pPr>
      <w:r w:rsidRPr="00736D5E">
        <w:t xml:space="preserve">Multivariate hypothesis testing </w:t>
      </w:r>
      <w:r w:rsidR="00C71756" w:rsidRPr="00736D5E">
        <w:t xml:space="preserve">(an option in HLM) </w:t>
      </w:r>
      <w:r w:rsidR="00526244" w:rsidRPr="00736D5E">
        <w:t>was</w:t>
      </w:r>
      <w:r w:rsidRPr="00736D5E">
        <w:t xml:space="preserve"> used to </w:t>
      </w:r>
      <w:r w:rsidR="00526244" w:rsidRPr="00736D5E">
        <w:t>determine</w:t>
      </w:r>
      <w:r w:rsidRPr="00736D5E">
        <w:t xml:space="preserve"> whether </w:t>
      </w:r>
      <w:r w:rsidR="00F374E7" w:rsidRPr="00736D5E">
        <w:t xml:space="preserve">the </w:t>
      </w:r>
      <w:r w:rsidR="00F374E7" w:rsidRPr="00736D5E">
        <w:lastRenderedPageBreak/>
        <w:t xml:space="preserve">magnitude of the relationship between predictors and anticipatory socialization was statistically significantly different for husbands and wives. </w:t>
      </w:r>
      <w:r w:rsidR="00815DCF" w:rsidRPr="00736D5E">
        <w:t xml:space="preserve">For </w:t>
      </w:r>
      <w:r w:rsidR="00B91B1A" w:rsidRPr="00736D5E">
        <w:t xml:space="preserve">the intercept and </w:t>
      </w:r>
      <w:r w:rsidR="00815DCF" w:rsidRPr="00736D5E">
        <w:t xml:space="preserve">each predictor, a </w:t>
      </w:r>
      <w:r w:rsidR="009F1F82" w:rsidRPr="00736D5E">
        <w:t>version of Model 2</w:t>
      </w:r>
      <w:r w:rsidR="00815DCF" w:rsidRPr="00736D5E">
        <w:t xml:space="preserve"> in which the magnitude of the coefficient was calculated independently for husbands and wives (i.e., </w:t>
      </w:r>
      <w:r w:rsidR="00F374E7" w:rsidRPr="00736D5E">
        <w:t xml:space="preserve">unconstrained </w:t>
      </w:r>
      <w:r w:rsidR="009F1F82" w:rsidRPr="00736D5E">
        <w:t>Model 2</w:t>
      </w:r>
      <w:r w:rsidR="00815DCF" w:rsidRPr="00736D5E">
        <w:t>)</w:t>
      </w:r>
      <w:r w:rsidR="00F374E7" w:rsidRPr="00736D5E">
        <w:t xml:space="preserve"> </w:t>
      </w:r>
      <w:r w:rsidR="00815DCF" w:rsidRPr="00736D5E">
        <w:t>was</w:t>
      </w:r>
      <w:r w:rsidR="00526244" w:rsidRPr="00736D5E">
        <w:t xml:space="preserve"> </w:t>
      </w:r>
      <w:r w:rsidR="00815DCF" w:rsidRPr="00736D5E">
        <w:t xml:space="preserve">compared to </w:t>
      </w:r>
      <w:r w:rsidR="009F1F82" w:rsidRPr="00736D5E">
        <w:t>the constrained version of Model 2</w:t>
      </w:r>
      <w:r w:rsidR="00F374E7" w:rsidRPr="00736D5E">
        <w:t xml:space="preserve"> where the coefficient</w:t>
      </w:r>
      <w:r w:rsidR="00815DCF" w:rsidRPr="00736D5E">
        <w:t xml:space="preserve"> for </w:t>
      </w:r>
      <w:r w:rsidR="009F1F82" w:rsidRPr="00736D5E">
        <w:t xml:space="preserve">each </w:t>
      </w:r>
      <w:r w:rsidR="00815DCF" w:rsidRPr="00736D5E">
        <w:t>predictor was constrained to be equal for husbands and wives. Statistically significant chi-square tests indicate that the null hypothesis (i.e., that there is no difference in the relationship between the predictor and the outcome for husbands and wives) should be rejected. Using this method, results of the hypothesis testing indicated that t</w:t>
      </w:r>
      <w:r w:rsidR="00F374E7" w:rsidRPr="00736D5E">
        <w:t xml:space="preserve">he </w:t>
      </w:r>
      <w:r w:rsidR="00B20990" w:rsidRPr="00736D5E">
        <w:t xml:space="preserve">magnitude of the </w:t>
      </w:r>
      <w:r w:rsidR="00C71756" w:rsidRPr="00736D5E">
        <w:t xml:space="preserve">coefficients for </w:t>
      </w:r>
      <w:r w:rsidR="00B91B1A" w:rsidRPr="00736D5E">
        <w:t>the intercept, age, race, income, couple retirement accounts (</w:t>
      </w:r>
      <w:r w:rsidR="00B91B1A" w:rsidRPr="00736D5E">
        <w:rPr>
          <w:i/>
        </w:rPr>
        <w:t>p</w:t>
      </w:r>
      <w:r w:rsidR="00B91B1A" w:rsidRPr="00736D5E">
        <w:t xml:space="preserve">&lt;.05), </w:t>
      </w:r>
      <w:r w:rsidR="009F1F82" w:rsidRPr="00736D5E">
        <w:t xml:space="preserve">attitude toward retirement, </w:t>
      </w:r>
      <w:r w:rsidR="00B91B1A" w:rsidRPr="00736D5E">
        <w:t xml:space="preserve">and </w:t>
      </w:r>
      <w:r w:rsidR="009F1F82" w:rsidRPr="00736D5E">
        <w:t>health</w:t>
      </w:r>
      <w:r w:rsidR="00B91B1A" w:rsidRPr="00736D5E">
        <w:t xml:space="preserve"> </w:t>
      </w:r>
      <w:r w:rsidR="00B20990" w:rsidRPr="00736D5E">
        <w:t>were all statistically significant</w:t>
      </w:r>
      <w:r w:rsidR="00467492" w:rsidRPr="00736D5E">
        <w:t>ly</w:t>
      </w:r>
      <w:r w:rsidR="00B20990" w:rsidRPr="00736D5E">
        <w:t xml:space="preserve"> </w:t>
      </w:r>
      <w:r w:rsidR="00815DCF" w:rsidRPr="00736D5E">
        <w:t xml:space="preserve">different </w:t>
      </w:r>
      <w:r w:rsidR="00B20990" w:rsidRPr="00736D5E">
        <w:t>for husbands versus wives (</w:t>
      </w:r>
      <w:r w:rsidR="00B20990" w:rsidRPr="00736D5E">
        <w:rPr>
          <w:i/>
        </w:rPr>
        <w:t>p</w:t>
      </w:r>
      <w:r w:rsidR="00B20990" w:rsidRPr="00736D5E">
        <w:t>&lt;.01</w:t>
      </w:r>
      <w:r w:rsidR="009F1F82" w:rsidRPr="00736D5E">
        <w:t xml:space="preserve"> unless otherwise indicated</w:t>
      </w:r>
      <w:r w:rsidR="00B20990" w:rsidRPr="00736D5E">
        <w:t>); results not shown.</w:t>
      </w:r>
      <w:r w:rsidR="00F374E7" w:rsidRPr="00736D5E">
        <w:t xml:space="preserve"> </w:t>
      </w:r>
      <w:r w:rsidR="009F1F82" w:rsidRPr="00B439CF">
        <w:t xml:space="preserve">These findings </w:t>
      </w:r>
      <w:r w:rsidR="00EA2343">
        <w:t xml:space="preserve">highlight the benefit of using the multivariate outcomes strategy for dyadic data </w:t>
      </w:r>
      <w:r w:rsidR="004B68CC" w:rsidRPr="00B439CF">
        <w:t xml:space="preserve">to </w:t>
      </w:r>
      <w:r w:rsidR="00B439CF" w:rsidRPr="00B439CF">
        <w:t xml:space="preserve">examine predictors of anticipatory socialization </w:t>
      </w:r>
      <w:r w:rsidR="004B68CC" w:rsidRPr="00B439CF">
        <w:t xml:space="preserve">separately (yet simultaneously) </w:t>
      </w:r>
      <w:r w:rsidR="004B68CC" w:rsidRPr="00736D5E">
        <w:t>for husbands and wives</w:t>
      </w:r>
      <w:r w:rsidR="004B68CC">
        <w:t>.</w:t>
      </w:r>
    </w:p>
    <w:p w:rsidR="001D4F38" w:rsidRPr="00736D5E" w:rsidRDefault="00D41F78" w:rsidP="001A7A7A">
      <w:pPr>
        <w:widowControl w:val="0"/>
        <w:spacing w:line="480" w:lineRule="auto"/>
        <w:rPr>
          <w:i/>
        </w:rPr>
      </w:pPr>
      <w:r w:rsidRPr="00736D5E">
        <w:rPr>
          <w:i/>
        </w:rPr>
        <w:t>Hypot</w:t>
      </w:r>
      <w:r w:rsidR="000A147A" w:rsidRPr="00736D5E">
        <w:rPr>
          <w:i/>
        </w:rPr>
        <w:t>h</w:t>
      </w:r>
      <w:r w:rsidRPr="00736D5E">
        <w:rPr>
          <w:i/>
        </w:rPr>
        <w:t>esis 3</w:t>
      </w:r>
    </w:p>
    <w:p w:rsidR="0070693A" w:rsidRPr="00736D5E" w:rsidRDefault="0070693A" w:rsidP="001A7A7A">
      <w:pPr>
        <w:widowControl w:val="0"/>
        <w:spacing w:line="480" w:lineRule="auto"/>
        <w:ind w:firstLine="720"/>
      </w:pPr>
      <w:r w:rsidRPr="00736D5E">
        <w:t>At the bivariate level, looking forward to retirement was associated with greater anticipatory socialization</w:t>
      </w:r>
      <w:r w:rsidR="00041B42" w:rsidRPr="00736D5E">
        <w:t xml:space="preserve"> among both wives and husbands</w:t>
      </w:r>
      <w:r w:rsidRPr="00736D5E">
        <w:t xml:space="preserve">. For wives, the mean anticipatory socialization for those looking forward to retirement was </w:t>
      </w:r>
      <w:r w:rsidR="008E274B" w:rsidRPr="00736D5E">
        <w:t>4.69</w:t>
      </w:r>
      <w:r w:rsidRPr="00736D5E">
        <w:t xml:space="preserve"> (</w:t>
      </w:r>
      <w:r w:rsidRPr="00736D5E">
        <w:rPr>
          <w:i/>
        </w:rPr>
        <w:t>SD</w:t>
      </w:r>
      <w:r w:rsidR="00CC3713" w:rsidRPr="00736D5E">
        <w:t xml:space="preserve"> </w:t>
      </w:r>
      <w:r w:rsidRPr="00736D5E">
        <w:t>=</w:t>
      </w:r>
      <w:r w:rsidR="00CC3713" w:rsidRPr="00736D5E">
        <w:t xml:space="preserve"> </w:t>
      </w:r>
      <w:r w:rsidRPr="00736D5E">
        <w:t>2.8</w:t>
      </w:r>
      <w:r w:rsidR="008E274B" w:rsidRPr="00736D5E">
        <w:t>6</w:t>
      </w:r>
      <w:r w:rsidRPr="00736D5E">
        <w:t xml:space="preserve">), compared </w:t>
      </w:r>
      <w:r w:rsidR="008E274B" w:rsidRPr="00736D5E">
        <w:t>to 3.15</w:t>
      </w:r>
      <w:r w:rsidRPr="00736D5E">
        <w:t xml:space="preserve"> (</w:t>
      </w:r>
      <w:r w:rsidRPr="00736D5E">
        <w:rPr>
          <w:i/>
        </w:rPr>
        <w:t>SD</w:t>
      </w:r>
      <w:r w:rsidR="00CC3713" w:rsidRPr="00736D5E">
        <w:t xml:space="preserve"> </w:t>
      </w:r>
      <w:r w:rsidRPr="00736D5E">
        <w:t>=</w:t>
      </w:r>
      <w:r w:rsidR="00CC3713" w:rsidRPr="00736D5E">
        <w:t xml:space="preserve"> </w:t>
      </w:r>
      <w:r w:rsidRPr="00736D5E">
        <w:t>2.6</w:t>
      </w:r>
      <w:r w:rsidR="008E274B" w:rsidRPr="00736D5E">
        <w:t>6</w:t>
      </w:r>
      <w:r w:rsidRPr="00736D5E">
        <w:t xml:space="preserve">) for </w:t>
      </w:r>
      <w:r w:rsidR="00CC3713" w:rsidRPr="00736D5E">
        <w:t xml:space="preserve">those </w:t>
      </w:r>
      <w:r w:rsidRPr="00736D5E">
        <w:t xml:space="preserve">not looking forward to retirement, </w:t>
      </w:r>
      <w:r w:rsidR="00CC3713" w:rsidRPr="00736D5E">
        <w:rPr>
          <w:i/>
        </w:rPr>
        <w:t>t</w:t>
      </w:r>
      <w:r w:rsidR="00CC3713" w:rsidRPr="00736D5E">
        <w:t>(</w:t>
      </w:r>
      <w:r w:rsidR="008E274B" w:rsidRPr="00736D5E">
        <w:t>1026</w:t>
      </w:r>
      <w:r w:rsidR="00CC3713" w:rsidRPr="00736D5E">
        <w:t>) = -</w:t>
      </w:r>
      <w:r w:rsidR="008E274B" w:rsidRPr="00736D5E">
        <w:t>8.19</w:t>
      </w:r>
      <w:r w:rsidR="00CC3713" w:rsidRPr="00736D5E">
        <w:t xml:space="preserve">, </w:t>
      </w:r>
      <w:r w:rsidR="00CC3713" w:rsidRPr="00736D5E">
        <w:rPr>
          <w:i/>
        </w:rPr>
        <w:t>p</w:t>
      </w:r>
      <w:r w:rsidR="00CC3713" w:rsidRPr="00736D5E">
        <w:t>&lt; .01. Likewise, the mean for husbands looking forward to retirement was higher than the mean of husbands not looking forward to retirement (</w:t>
      </w:r>
      <w:r w:rsidR="00CC3713" w:rsidRPr="00736D5E">
        <w:rPr>
          <w:i/>
        </w:rPr>
        <w:t xml:space="preserve">M </w:t>
      </w:r>
      <w:r w:rsidR="00CC3713" w:rsidRPr="00736D5E">
        <w:t xml:space="preserve">= </w:t>
      </w:r>
      <w:r w:rsidR="008E274B" w:rsidRPr="00736D5E">
        <w:t>5.08</w:t>
      </w:r>
      <w:r w:rsidR="00CC3713" w:rsidRPr="00736D5E">
        <w:t xml:space="preserve">, </w:t>
      </w:r>
      <w:r w:rsidR="00CC3713" w:rsidRPr="00736D5E">
        <w:rPr>
          <w:i/>
        </w:rPr>
        <w:t xml:space="preserve">SD </w:t>
      </w:r>
      <w:r w:rsidR="00CC3713" w:rsidRPr="00736D5E">
        <w:t xml:space="preserve">= </w:t>
      </w:r>
      <w:r w:rsidR="008E274B" w:rsidRPr="00736D5E">
        <w:t>2.68</w:t>
      </w:r>
      <w:r w:rsidR="00CC3713" w:rsidRPr="00736D5E">
        <w:t xml:space="preserve"> vs. </w:t>
      </w:r>
      <w:r w:rsidR="00CC3713" w:rsidRPr="00736D5E">
        <w:rPr>
          <w:i/>
        </w:rPr>
        <w:t xml:space="preserve">M </w:t>
      </w:r>
      <w:r w:rsidR="00CC3713" w:rsidRPr="00736D5E">
        <w:t xml:space="preserve">= </w:t>
      </w:r>
      <w:r w:rsidR="008E274B" w:rsidRPr="00736D5E">
        <w:t>3.29</w:t>
      </w:r>
      <w:r w:rsidR="00CC3713" w:rsidRPr="00736D5E">
        <w:t xml:space="preserve">, </w:t>
      </w:r>
      <w:r w:rsidR="00CC3713" w:rsidRPr="00736D5E">
        <w:rPr>
          <w:i/>
        </w:rPr>
        <w:t xml:space="preserve">SD </w:t>
      </w:r>
      <w:r w:rsidR="00CC3713" w:rsidRPr="00736D5E">
        <w:t xml:space="preserve">= 2.72, respectively), </w:t>
      </w:r>
      <w:r w:rsidR="00CC3713" w:rsidRPr="00736D5E">
        <w:rPr>
          <w:i/>
        </w:rPr>
        <w:t>t</w:t>
      </w:r>
      <w:r w:rsidR="00CC3713" w:rsidRPr="00736D5E">
        <w:t>(</w:t>
      </w:r>
      <w:r w:rsidR="008E274B" w:rsidRPr="00736D5E">
        <w:t>1026</w:t>
      </w:r>
      <w:r w:rsidR="00CC3713" w:rsidRPr="00736D5E">
        <w:t xml:space="preserve">) = </w:t>
      </w:r>
      <w:r w:rsidR="008E274B" w:rsidRPr="00736D5E">
        <w:t>-9.39</w:t>
      </w:r>
      <w:r w:rsidR="00CC3713" w:rsidRPr="00736D5E">
        <w:t xml:space="preserve">, </w:t>
      </w:r>
      <w:r w:rsidR="00CC3713" w:rsidRPr="00736D5E">
        <w:rPr>
          <w:i/>
        </w:rPr>
        <w:t xml:space="preserve">p </w:t>
      </w:r>
      <w:r w:rsidR="00CC3713" w:rsidRPr="00736D5E">
        <w:t xml:space="preserve">&lt; .01. </w:t>
      </w:r>
    </w:p>
    <w:p w:rsidR="00EC5D56" w:rsidRPr="00736D5E" w:rsidRDefault="00DC50D5" w:rsidP="001A7A7A">
      <w:pPr>
        <w:widowControl w:val="0"/>
        <w:spacing w:line="480" w:lineRule="auto"/>
        <w:ind w:firstLine="720"/>
      </w:pPr>
      <w:r w:rsidRPr="00736D5E">
        <w:t xml:space="preserve">In the multilevel models, </w:t>
      </w:r>
      <w:r w:rsidR="006C7A7C" w:rsidRPr="00736D5E">
        <w:t>looking forward to retirement increased the predicted anticipatory socialization by 1.8</w:t>
      </w:r>
      <w:r w:rsidR="008E274B" w:rsidRPr="00736D5E">
        <w:t>1</w:t>
      </w:r>
      <w:r w:rsidR="006C7A7C" w:rsidRPr="00736D5E">
        <w:t xml:space="preserve"> points for husbands and by 1.</w:t>
      </w:r>
      <w:r w:rsidR="008E274B" w:rsidRPr="00736D5E">
        <w:t>48</w:t>
      </w:r>
      <w:r w:rsidR="006C7A7C" w:rsidRPr="00736D5E">
        <w:t xml:space="preserve"> points for wives when </w:t>
      </w:r>
      <w:r w:rsidR="006C7A7C" w:rsidRPr="00736D5E">
        <w:lastRenderedPageBreak/>
        <w:t xml:space="preserve">controlling for </w:t>
      </w:r>
      <w:r w:rsidR="00041B42" w:rsidRPr="00736D5E">
        <w:t>all</w:t>
      </w:r>
      <w:r w:rsidR="006C7A7C" w:rsidRPr="00736D5E">
        <w:t xml:space="preserve"> other factors in the model. A wife was also more likely to engage in anticipatory socialization behaviors if her husband was looking forward to his retirement; his </w:t>
      </w:r>
      <w:r w:rsidR="00847E13" w:rsidRPr="00736D5E">
        <w:t xml:space="preserve">positive attitude </w:t>
      </w:r>
      <w:r w:rsidR="006C7A7C" w:rsidRPr="00736D5E">
        <w:t>increased the predicted score for wives by 0.</w:t>
      </w:r>
      <w:r w:rsidR="00C0173E" w:rsidRPr="00736D5E">
        <w:t>91</w:t>
      </w:r>
      <w:r w:rsidR="006C7A7C" w:rsidRPr="00736D5E">
        <w:t xml:space="preserve"> points. </w:t>
      </w:r>
      <w:r w:rsidR="00403533" w:rsidRPr="00736D5E">
        <w:t>T</w:t>
      </w:r>
      <w:r w:rsidR="006C7A7C" w:rsidRPr="00736D5E">
        <w:t xml:space="preserve">he wife’s </w:t>
      </w:r>
      <w:r w:rsidR="00847E13" w:rsidRPr="00736D5E">
        <w:t xml:space="preserve">attitude toward </w:t>
      </w:r>
      <w:r w:rsidR="006C7A7C" w:rsidRPr="00736D5E">
        <w:t xml:space="preserve">retirement </w:t>
      </w:r>
      <w:r w:rsidR="00403533" w:rsidRPr="00736D5E">
        <w:t xml:space="preserve">did not have a significant effect </w:t>
      </w:r>
      <w:r w:rsidR="006C7A7C" w:rsidRPr="00736D5E">
        <w:t>on her husband’s anticipatory socialization</w:t>
      </w:r>
      <w:r w:rsidR="001F02DD" w:rsidRPr="00736D5E">
        <w:t>.</w:t>
      </w:r>
      <w:r w:rsidR="00B20990" w:rsidRPr="00736D5E">
        <w:t xml:space="preserve"> The magnitude of the coefficients for attitude about retirement was statistically significantly different for husbands and wives, χ</w:t>
      </w:r>
      <w:r w:rsidR="00B20990" w:rsidRPr="00736D5E">
        <w:rPr>
          <w:vertAlign w:val="superscript"/>
        </w:rPr>
        <w:t>2</w:t>
      </w:r>
      <w:r w:rsidR="00B20990" w:rsidRPr="00736D5E">
        <w:t xml:space="preserve">(1, </w:t>
      </w:r>
      <w:r w:rsidR="00B20990" w:rsidRPr="00736D5E">
        <w:rPr>
          <w:i/>
          <w:iCs/>
        </w:rPr>
        <w:t>N</w:t>
      </w:r>
      <w:r w:rsidR="00B20990" w:rsidRPr="00736D5E">
        <w:t>=2,</w:t>
      </w:r>
      <w:r w:rsidR="00C0173E" w:rsidRPr="00736D5E">
        <w:t>056</w:t>
      </w:r>
      <w:r w:rsidR="00B20990" w:rsidRPr="00736D5E">
        <w:t xml:space="preserve">) = </w:t>
      </w:r>
      <w:r w:rsidR="00C0173E" w:rsidRPr="00736D5E">
        <w:t>167.18</w:t>
      </w:r>
      <w:r w:rsidR="00B20990" w:rsidRPr="00736D5E">
        <w:t xml:space="preserve">, </w:t>
      </w:r>
      <w:r w:rsidR="00B20990" w:rsidRPr="00736D5E">
        <w:rPr>
          <w:i/>
          <w:iCs/>
        </w:rPr>
        <w:t>p</w:t>
      </w:r>
      <w:r w:rsidR="00C0173E" w:rsidRPr="00736D5E">
        <w:rPr>
          <w:i/>
          <w:iCs/>
        </w:rPr>
        <w:t xml:space="preserve"> </w:t>
      </w:r>
      <w:r w:rsidR="00B20990" w:rsidRPr="00736D5E">
        <w:t>&lt;</w:t>
      </w:r>
      <w:r w:rsidR="00C0173E" w:rsidRPr="00736D5E">
        <w:t xml:space="preserve"> </w:t>
      </w:r>
      <w:r w:rsidR="00B20990" w:rsidRPr="00736D5E">
        <w:t>.01.</w:t>
      </w:r>
      <w:r w:rsidR="001F02DD" w:rsidRPr="00736D5E">
        <w:t xml:space="preserve"> </w:t>
      </w:r>
    </w:p>
    <w:p w:rsidR="00C46407" w:rsidRPr="00736D5E" w:rsidRDefault="00C46407" w:rsidP="00171F9F">
      <w:pPr>
        <w:widowControl w:val="0"/>
        <w:spacing w:line="480" w:lineRule="auto"/>
        <w:rPr>
          <w:i/>
        </w:rPr>
      </w:pPr>
      <w:r w:rsidRPr="00736D5E">
        <w:rPr>
          <w:i/>
        </w:rPr>
        <w:t>Health and Mental Health</w:t>
      </w:r>
    </w:p>
    <w:p w:rsidR="00525AF9" w:rsidRDefault="00C46407" w:rsidP="00171F9F">
      <w:pPr>
        <w:widowControl w:val="0"/>
        <w:spacing w:line="480" w:lineRule="auto"/>
      </w:pPr>
      <w:r w:rsidRPr="00736D5E">
        <w:tab/>
        <w:t xml:space="preserve">Measures for health and mental health were entered into the models as </w:t>
      </w:r>
      <w:r w:rsidR="006763CD" w:rsidRPr="00736D5E">
        <w:t xml:space="preserve">control variables that could impact the relationship between the predictors and the outcome. </w:t>
      </w:r>
      <w:r w:rsidRPr="00736D5E">
        <w:t>For husbands, h</w:t>
      </w:r>
      <w:r w:rsidR="006763CD" w:rsidRPr="00736D5E">
        <w:t>aving a health problem that limited the kind or amount of paid work that they could do was not a statistically significant predictor of anticipatory socialization, but each depressive symptom over the sample average pred</w:t>
      </w:r>
      <w:r w:rsidRPr="00736D5E">
        <w:t xml:space="preserve">icted </w:t>
      </w:r>
      <w:r w:rsidR="006763CD" w:rsidRPr="00736D5E">
        <w:t xml:space="preserve">an increase of .08 points in </w:t>
      </w:r>
      <w:r w:rsidRPr="00736D5E">
        <w:t>anticipatory socialization</w:t>
      </w:r>
      <w:r w:rsidR="006763CD" w:rsidRPr="00736D5E">
        <w:t>.</w:t>
      </w:r>
      <w:r w:rsidRPr="00736D5E">
        <w:t xml:space="preserve"> </w:t>
      </w:r>
      <w:r w:rsidR="006763CD" w:rsidRPr="00736D5E">
        <w:t>For wives, the opposite was true: having a health problem that limited work increased anticipatory socialization by .82 points, but depressive symptomatology was not a significant predictor.</w:t>
      </w:r>
      <w:r w:rsidR="004050F6">
        <w:t xml:space="preserve">  </w:t>
      </w:r>
    </w:p>
    <w:p w:rsidR="003C7B36" w:rsidRPr="00736D5E" w:rsidRDefault="00C54C07" w:rsidP="001A7A7A">
      <w:pPr>
        <w:widowControl w:val="0"/>
        <w:spacing w:line="480" w:lineRule="auto"/>
        <w:jc w:val="center"/>
      </w:pPr>
      <w:r w:rsidRPr="00736D5E">
        <w:t>Discussion</w:t>
      </w:r>
    </w:p>
    <w:p w:rsidR="00A74188" w:rsidRPr="00736D5E" w:rsidRDefault="00A74188" w:rsidP="001A7A7A">
      <w:pPr>
        <w:widowControl w:val="0"/>
        <w:spacing w:line="480" w:lineRule="auto"/>
        <w:ind w:firstLine="720"/>
      </w:pPr>
      <w:r w:rsidRPr="00736D5E">
        <w:t xml:space="preserve">Retirement is one of the major transitions of later life. Preparing for this transition has positive outcomes, such as improved psychological well-being and better role adjustment </w:t>
      </w:r>
      <w:r w:rsidR="00DD774A" w:rsidRPr="00736D5E">
        <w:fldChar w:fldCharType="begin"/>
      </w:r>
      <w:r w:rsidRPr="00736D5E">
        <w:instrText xml:space="preserve"> ADDIN EN.CITE &lt;EndNote&gt;&lt;Cite&gt;&lt;Author&gt;Anderson&lt;/Author&gt;&lt;Year&gt;1993&lt;/Year&gt;&lt;RecNum&gt;46&lt;/RecNum&gt;&lt;MDL&gt;&lt;REFERENCE_TYPE&gt;0&lt;/REFERENCE_TYPE&gt;&lt;AUTHORS&gt;&lt;AUTHOR&gt;Anderson, C.&lt;/AUTHOR&gt;&lt;AUTHOR&gt;Weber, J&lt;/AUTHOR&gt;&lt;/AUTHORS&gt;&lt;YEAR&gt;1993&lt;/YEAR&gt;&lt;TITLE&gt;Preretirement planning and perceptions of satisfaction among retirees&lt;/TITLE&gt;&lt;SECONDARY_TITLE&gt;Educational Gerontology&lt;/SECONDARY_TITLE&gt;&lt;VOLUME&gt;19&lt;/VOLUME&gt;&lt;PAGES&gt;397-406&lt;/PAGES&gt;&lt;/MDL&gt;&lt;/Cite&gt;&lt;Cite&gt;&lt;Author&gt;Lo&lt;/Author&gt;&lt;Year&gt;1999&lt;/Year&gt;&lt;RecNum&gt;79&lt;/RecNum&gt;&lt;MDL&gt;&lt;REFERENCE_TYPE&gt;0&lt;/REFERENCE_TYPE&gt;&lt;AUTHORS&gt;&lt;AUTHOR&gt;Lo, R.&lt;/AUTHOR&gt;&lt;AUTHOR&gt;Brown, R.&lt;/AUTHOR&gt;&lt;/AUTHORS&gt;&lt;YEAR&gt;1999&lt;/YEAR&gt;&lt;TITLE&gt;Stress and adaptation: Preparation for successful retirement&lt;/TITLE&gt;&lt;SECONDARY_TITLE&gt;Australian and New Zealand Journal of Mental Health Nursing&lt;/SECONDARY_TITLE&gt;&lt;VOLUME&gt;8&lt;/VOLUME&gt;&lt;PAGES&gt;30-38&lt;/PAGES&gt;&lt;/MDL&gt;&lt;/Cite&gt;&lt;Cite&gt;&lt;Author&gt;Rosenkoetter&lt;/Author&gt;&lt;Year&gt;1998&lt;/Year&gt;&lt;RecNum&gt;13&lt;/RecNum&gt;&lt;MDL&gt;&lt;REFERENCE_TYPE&gt;0&lt;/REFERENCE_TYPE&gt;&lt;AUTHORS&gt;&lt;AUTHOR&gt;Rosenkoetter, M. M.&lt;/AUTHOR&gt;&lt;AUTHOR&gt;Garris, J. M.&lt;/AUTHOR&gt;&lt;/AUTHORS&gt;&lt;YEAR&gt;1998&lt;/YEAR&gt;&lt;TITLE&gt;Psychosocial changes following retirement&lt;/TITLE&gt;&lt;SECONDARY_TITLE&gt;Journal of Advanced Nursing&lt;/SECONDARY_TITLE&gt;&lt;VOLUME&gt;27&lt;/VOLUME&gt;&lt;PAGES&gt;966-976&lt;/PAGES&gt;&lt;/MDL&gt;&lt;/Cite&gt;&lt;/EndNote&gt;</w:instrText>
      </w:r>
      <w:r w:rsidR="00DD774A" w:rsidRPr="00736D5E">
        <w:fldChar w:fldCharType="separate"/>
      </w:r>
      <w:r w:rsidRPr="00736D5E">
        <w:t>(</w:t>
      </w:r>
      <w:r w:rsidR="00EB42A4" w:rsidRPr="00736D5E">
        <w:t xml:space="preserve">Elder &amp; Rudolph, 1999; </w:t>
      </w:r>
      <w:r w:rsidRPr="00736D5E">
        <w:t>Rosenkoetter &amp; Garris, 1998)</w:t>
      </w:r>
      <w:r w:rsidR="00DD774A" w:rsidRPr="00736D5E">
        <w:fldChar w:fldCharType="end"/>
      </w:r>
      <w:r w:rsidR="00D7777F" w:rsidRPr="00736D5E">
        <w:t>, and higher relationship satisfaction (Mock &amp; Cornelius, 2007)</w:t>
      </w:r>
      <w:r w:rsidRPr="00736D5E">
        <w:t xml:space="preserve">. </w:t>
      </w:r>
      <w:r w:rsidR="00D00D45" w:rsidRPr="00736D5E">
        <w:t xml:space="preserve">Inherently a social process, anticipatory socialization is </w:t>
      </w:r>
      <w:r w:rsidR="00D00D45" w:rsidRPr="00736D5E">
        <w:rPr>
          <w:color w:val="000000"/>
        </w:rPr>
        <w:t xml:space="preserve">shaped by beliefs, experiences, communications, and exchanges with others. This is even more </w:t>
      </w:r>
      <w:r w:rsidR="00BE4B8A" w:rsidRPr="00736D5E">
        <w:rPr>
          <w:color w:val="000000"/>
        </w:rPr>
        <w:t xml:space="preserve">relevant for </w:t>
      </w:r>
      <w:r w:rsidR="00D00D45" w:rsidRPr="00736D5E">
        <w:rPr>
          <w:color w:val="000000"/>
        </w:rPr>
        <w:t>couple</w:t>
      </w:r>
      <w:r w:rsidR="00BE4B8A" w:rsidRPr="00736D5E">
        <w:rPr>
          <w:color w:val="000000"/>
        </w:rPr>
        <w:t>s</w:t>
      </w:r>
      <w:r w:rsidR="00D00D45" w:rsidRPr="00736D5E">
        <w:rPr>
          <w:color w:val="000000"/>
        </w:rPr>
        <w:t xml:space="preserve">, </w:t>
      </w:r>
      <w:r w:rsidR="00BE4B8A" w:rsidRPr="00736D5E">
        <w:rPr>
          <w:color w:val="000000"/>
        </w:rPr>
        <w:t>with their linked lives</w:t>
      </w:r>
      <w:r w:rsidR="00D00D45" w:rsidRPr="00736D5E">
        <w:rPr>
          <w:color w:val="000000"/>
        </w:rPr>
        <w:t xml:space="preserve">. </w:t>
      </w:r>
      <w:r w:rsidR="00DE37EC" w:rsidRPr="00736D5E">
        <w:t>T</w:t>
      </w:r>
      <w:r w:rsidRPr="00736D5E">
        <w:t>his study identif</w:t>
      </w:r>
      <w:r w:rsidR="00DE37EC" w:rsidRPr="00736D5E">
        <w:t>ied</w:t>
      </w:r>
      <w:r w:rsidRPr="00736D5E">
        <w:t xml:space="preserve"> predictors of anticipatory socialization for retirement among </w:t>
      </w:r>
      <w:r w:rsidR="00D7777F" w:rsidRPr="00736D5E">
        <w:t xml:space="preserve">dual-earning </w:t>
      </w:r>
      <w:r w:rsidRPr="00736D5E">
        <w:t xml:space="preserve">married couples, and how </w:t>
      </w:r>
      <w:r w:rsidR="00DE37EC" w:rsidRPr="00736D5E">
        <w:t>these predictors</w:t>
      </w:r>
      <w:r w:rsidRPr="00736D5E">
        <w:t xml:space="preserve"> differ</w:t>
      </w:r>
      <w:r w:rsidR="00DE37EC" w:rsidRPr="00736D5E">
        <w:t>ed</w:t>
      </w:r>
      <w:r w:rsidRPr="00736D5E">
        <w:t xml:space="preserve"> </w:t>
      </w:r>
      <w:r w:rsidR="00783FEE" w:rsidRPr="00736D5E">
        <w:t xml:space="preserve">by gender. </w:t>
      </w:r>
    </w:p>
    <w:p w:rsidR="004A24A8" w:rsidRPr="00736D5E" w:rsidRDefault="004A24A8" w:rsidP="001A7A7A">
      <w:pPr>
        <w:widowControl w:val="0"/>
        <w:spacing w:line="480" w:lineRule="auto"/>
        <w:ind w:firstLine="720"/>
      </w:pPr>
      <w:r w:rsidRPr="00736D5E">
        <w:t xml:space="preserve">Our hypothesis that husbands would report more informal anticipatory socialization </w:t>
      </w:r>
      <w:r w:rsidRPr="00736D5E">
        <w:lastRenderedPageBreak/>
        <w:t>behaviors tha</w:t>
      </w:r>
      <w:r w:rsidR="008A02F1" w:rsidRPr="00736D5E">
        <w:t>n</w:t>
      </w:r>
      <w:r w:rsidRPr="00736D5E">
        <w:t xml:space="preserve"> wives was supported. This finding confirms results from previous research (Jacobs-Lawson, Hershey, &amp; Neukam, 2004) and may be due, in part, to the older average age of husbands than wives (</w:t>
      </w:r>
      <w:r w:rsidRPr="00736D5E">
        <w:rPr>
          <w:i/>
        </w:rPr>
        <w:t>M</w:t>
      </w:r>
      <w:r w:rsidRPr="00736D5E">
        <w:t>=55.</w:t>
      </w:r>
      <w:r w:rsidR="00BA695F" w:rsidRPr="00736D5E">
        <w:t xml:space="preserve">7 </w:t>
      </w:r>
      <w:r w:rsidRPr="00736D5E">
        <w:t xml:space="preserve">vs. </w:t>
      </w:r>
      <w:r w:rsidRPr="00736D5E">
        <w:rPr>
          <w:i/>
        </w:rPr>
        <w:t>M</w:t>
      </w:r>
      <w:r w:rsidRPr="00736D5E">
        <w:t>=52.</w:t>
      </w:r>
      <w:r w:rsidR="00BA695F" w:rsidRPr="00736D5E" w:rsidDel="00BA695F">
        <w:t xml:space="preserve"> </w:t>
      </w:r>
      <w:r w:rsidR="00BA695F" w:rsidRPr="00736D5E">
        <w:t>7</w:t>
      </w:r>
      <w:r w:rsidRPr="00736D5E">
        <w:t xml:space="preserve"> years, respectively). For 79</w:t>
      </w:r>
      <w:r w:rsidR="00BA695F" w:rsidRPr="00736D5E">
        <w:t>.8</w:t>
      </w:r>
      <w:r w:rsidRPr="00736D5E">
        <w:t>% of couples, the husband was older than his wife, and therefore husbands’ were more proximate to the traditional age for retirement. Previous research has also found that women tend to wait until they are closer to their planned retirement age to begin planning for retirement (Han &amp; Moen, 1999). Furthermore, gender differences in life course experiences (e.g., withdrawing from the labor force to raise children or provide caregiving for an older relative) may result in postponement of retirement plans until pension eligibility or the accomplishment of career goals (Feuerbach &amp; Erdwins, 1994; Han &amp; Moen, 1999).</w:t>
      </w:r>
    </w:p>
    <w:p w:rsidR="00B869A4" w:rsidRPr="00736D5E" w:rsidRDefault="00A74188" w:rsidP="001A7A7A">
      <w:pPr>
        <w:widowControl w:val="0"/>
        <w:spacing w:line="480" w:lineRule="auto"/>
        <w:ind w:firstLine="720"/>
      </w:pPr>
      <w:r w:rsidRPr="00736D5E">
        <w:t xml:space="preserve">Multivariate MLM results found partial support for our hypothesis that higher </w:t>
      </w:r>
      <w:r w:rsidR="00693134" w:rsidRPr="00736D5E">
        <w:t xml:space="preserve">socioeconomic </w:t>
      </w:r>
      <w:r w:rsidRPr="00736D5E">
        <w:t xml:space="preserve">status would predict more anticipatory socialization. Retirement anticipatory socialization of both husbands’ and wives’ is predicted by </w:t>
      </w:r>
      <w:r w:rsidR="00B869A4" w:rsidRPr="00736D5E">
        <w:t>higher income and larger retirement accounts</w:t>
      </w:r>
      <w:r w:rsidR="006D01CC" w:rsidRPr="00736D5E">
        <w:t>. This is consistent with the findings of Ekerdt et al. (2000) and Kosloski et al. (2001)</w:t>
      </w:r>
      <w:r w:rsidR="00AC5B0B" w:rsidRPr="00736D5E">
        <w:t xml:space="preserve"> that those with higher social positions engage in more anticipatory socialization</w:t>
      </w:r>
      <w:r w:rsidR="006D01CC" w:rsidRPr="00736D5E">
        <w:t xml:space="preserve">. One possible explanation for this finding is that those with higher incomes </w:t>
      </w:r>
      <w:r w:rsidR="00AC5B0B" w:rsidRPr="00736D5E">
        <w:t xml:space="preserve">and larger retirement accounts </w:t>
      </w:r>
      <w:r w:rsidR="006D01CC" w:rsidRPr="00736D5E">
        <w:t>are more likely to retire early (Choi, 2002)</w:t>
      </w:r>
      <w:r w:rsidR="004B559A" w:rsidRPr="00736D5E">
        <w:t>, most likely because they can afford to do so</w:t>
      </w:r>
      <w:r w:rsidR="008C3978" w:rsidRPr="00736D5E">
        <w:t>. A</w:t>
      </w:r>
      <w:r w:rsidR="005546BA" w:rsidRPr="00736D5E">
        <w:t xml:space="preserve"> second</w:t>
      </w:r>
      <w:r w:rsidR="008C3978" w:rsidRPr="00736D5E">
        <w:t xml:space="preserve"> explanation is that those with higher incomes are encouraged to financially plan for</w:t>
      </w:r>
      <w:r w:rsidR="006D01CC" w:rsidRPr="00736D5E">
        <w:t xml:space="preserve"> retirement</w:t>
      </w:r>
      <w:r w:rsidR="008C3978" w:rsidRPr="00736D5E">
        <w:t xml:space="preserve"> and this planning requires thought and communication with their spouse</w:t>
      </w:r>
      <w:r w:rsidR="006D01CC" w:rsidRPr="00736D5E">
        <w:t xml:space="preserve">. </w:t>
      </w:r>
      <w:r w:rsidR="005546BA" w:rsidRPr="00736D5E">
        <w:t xml:space="preserve">A third explanation </w:t>
      </w:r>
      <w:r w:rsidR="003D59AF" w:rsidRPr="00736D5E">
        <w:t xml:space="preserve">is </w:t>
      </w:r>
      <w:r w:rsidR="005546BA" w:rsidRPr="00736D5E">
        <w:t>that</w:t>
      </w:r>
      <w:r w:rsidR="004B559A" w:rsidRPr="00736D5E">
        <w:t xml:space="preserve"> </w:t>
      </w:r>
      <w:r w:rsidR="0037325A" w:rsidRPr="00736D5E">
        <w:t xml:space="preserve">since </w:t>
      </w:r>
      <w:r w:rsidR="004B559A" w:rsidRPr="00736D5E">
        <w:t>lower income</w:t>
      </w:r>
      <w:r w:rsidR="003D59AF" w:rsidRPr="00736D5E">
        <w:t xml:space="preserve"> </w:t>
      </w:r>
      <w:r w:rsidR="00247B74" w:rsidRPr="00736D5E">
        <w:t>couples</w:t>
      </w:r>
      <w:r w:rsidR="003D59AF" w:rsidRPr="00736D5E">
        <w:t xml:space="preserve"> </w:t>
      </w:r>
      <w:r w:rsidR="00D02A3D" w:rsidRPr="00736D5E">
        <w:t xml:space="preserve">often </w:t>
      </w:r>
      <w:r w:rsidR="00247B74" w:rsidRPr="00736D5E">
        <w:t>do</w:t>
      </w:r>
      <w:r w:rsidR="003D59AF" w:rsidRPr="00736D5E">
        <w:t xml:space="preserve"> not have an employer-sponsored retirement</w:t>
      </w:r>
      <w:r w:rsidR="00F62EAF" w:rsidRPr="00736D5E">
        <w:t xml:space="preserve"> plan</w:t>
      </w:r>
      <w:r w:rsidR="002E6836" w:rsidRPr="00736D5E">
        <w:t xml:space="preserve"> or significant savings</w:t>
      </w:r>
      <w:r w:rsidR="0037325A" w:rsidRPr="00736D5E">
        <w:t xml:space="preserve">, a lack of wealth might make retirement </w:t>
      </w:r>
      <w:r w:rsidR="00D02A3D" w:rsidRPr="00736D5E">
        <w:t>financially impossible</w:t>
      </w:r>
      <w:r w:rsidR="0037325A" w:rsidRPr="00736D5E">
        <w:t xml:space="preserve">, so </w:t>
      </w:r>
      <w:r w:rsidR="001C5616" w:rsidRPr="00736D5E">
        <w:t>anticipatory socialization</w:t>
      </w:r>
      <w:r w:rsidR="00E03C0B" w:rsidRPr="00736D5E">
        <w:t xml:space="preserve"> activities</w:t>
      </w:r>
      <w:r w:rsidR="0037325A" w:rsidRPr="00736D5E">
        <w:t xml:space="preserve"> are irrelevant</w:t>
      </w:r>
      <w:r w:rsidR="002E6836" w:rsidRPr="00736D5E">
        <w:t xml:space="preserve">. </w:t>
      </w:r>
      <w:r w:rsidR="004D2C1A" w:rsidRPr="00736D5E">
        <w:t>O</w:t>
      </w:r>
      <w:r w:rsidRPr="00736D5E">
        <w:t xml:space="preserve">ccupational status was </w:t>
      </w:r>
      <w:r w:rsidR="00B869A4" w:rsidRPr="00736D5E">
        <w:t xml:space="preserve">also </w:t>
      </w:r>
      <w:r w:rsidR="009B49FC" w:rsidRPr="00736D5E">
        <w:t xml:space="preserve">a </w:t>
      </w:r>
      <w:r w:rsidRPr="00736D5E">
        <w:t>statistically significant</w:t>
      </w:r>
      <w:r w:rsidR="006D01CC" w:rsidRPr="00736D5E">
        <w:t xml:space="preserve"> </w:t>
      </w:r>
      <w:r w:rsidR="004D2C1A" w:rsidRPr="00736D5E">
        <w:t xml:space="preserve">predictor of anticipatory socialization </w:t>
      </w:r>
      <w:r w:rsidR="006D01CC" w:rsidRPr="00736D5E">
        <w:t>in the present study</w:t>
      </w:r>
      <w:r w:rsidR="004D2C1A" w:rsidRPr="00736D5E">
        <w:t xml:space="preserve">, </w:t>
      </w:r>
      <w:r w:rsidR="00B869A4" w:rsidRPr="00736D5E">
        <w:t xml:space="preserve">consistent with </w:t>
      </w:r>
      <w:r w:rsidR="009B49FC" w:rsidRPr="00736D5E">
        <w:t xml:space="preserve">the </w:t>
      </w:r>
      <w:r w:rsidR="004D2C1A" w:rsidRPr="00736D5E">
        <w:lastRenderedPageBreak/>
        <w:t xml:space="preserve">findings of a Canadian study </w:t>
      </w:r>
      <w:r w:rsidR="0076431C" w:rsidRPr="00736D5E">
        <w:t xml:space="preserve">of males </w:t>
      </w:r>
      <w:r w:rsidR="004D2C1A" w:rsidRPr="00736D5E">
        <w:t>(McPherson &amp; Guppy, 1979)</w:t>
      </w:r>
      <w:r w:rsidRPr="00736D5E">
        <w:t>.</w:t>
      </w:r>
      <w:r w:rsidR="004D2C1A" w:rsidRPr="00736D5E">
        <w:t xml:space="preserve"> </w:t>
      </w:r>
    </w:p>
    <w:p w:rsidR="00FA342B" w:rsidRPr="00736D5E" w:rsidRDefault="008F1949" w:rsidP="001A7A7A">
      <w:pPr>
        <w:widowControl w:val="0"/>
        <w:spacing w:line="480" w:lineRule="auto"/>
        <w:ind w:firstLine="720"/>
      </w:pPr>
      <w:r w:rsidRPr="00736D5E">
        <w:t>Consistent with previous studies (Ekerdt et al., 2000; Kosloski et al., 2001), b</w:t>
      </w:r>
      <w:r w:rsidR="00A74188" w:rsidRPr="00736D5E">
        <w:t xml:space="preserve">eing White predicts more anticipatory socialization. </w:t>
      </w:r>
      <w:r w:rsidR="00C173C7" w:rsidRPr="00736D5E">
        <w:t>Perhaps</w:t>
      </w:r>
      <w:r w:rsidR="00B869A4" w:rsidRPr="00736D5E">
        <w:t xml:space="preserve"> race is </w:t>
      </w:r>
      <w:r w:rsidR="00725359">
        <w:t xml:space="preserve">a significant predictor of </w:t>
      </w:r>
      <w:r w:rsidR="00C173C7" w:rsidRPr="00736D5E">
        <w:t xml:space="preserve">anticipatory socialization because </w:t>
      </w:r>
      <w:r w:rsidR="00725359">
        <w:t xml:space="preserve">of racial differences in risk of </w:t>
      </w:r>
      <w:r w:rsidRPr="00736D5E">
        <w:t>interrupted work histories</w:t>
      </w:r>
      <w:r w:rsidR="00725359">
        <w:t>; persons who are White are also</w:t>
      </w:r>
      <w:r w:rsidR="009D0DF1" w:rsidRPr="00736D5E">
        <w:t xml:space="preserve"> more likely to have </w:t>
      </w:r>
      <w:r w:rsidRPr="00736D5E">
        <w:t xml:space="preserve">higher incomes, and therefore </w:t>
      </w:r>
      <w:r w:rsidR="009D0DF1" w:rsidRPr="00736D5E">
        <w:t xml:space="preserve">tend to </w:t>
      </w:r>
      <w:r w:rsidR="00C173C7" w:rsidRPr="00736D5E">
        <w:t xml:space="preserve">have more financial resources </w:t>
      </w:r>
      <w:r w:rsidRPr="00736D5E">
        <w:t>accumulated for retirement</w:t>
      </w:r>
      <w:r w:rsidR="00FA342B" w:rsidRPr="00736D5E">
        <w:t xml:space="preserve"> </w:t>
      </w:r>
      <w:r w:rsidR="00C173C7" w:rsidRPr="00736D5E">
        <w:t xml:space="preserve">(Flippen &amp; Tienda, 2000; </w:t>
      </w:r>
      <w:r w:rsidR="00FA342B" w:rsidRPr="00736D5E">
        <w:t xml:space="preserve">Gibson &amp; Burns, 1991). </w:t>
      </w:r>
    </w:p>
    <w:p w:rsidR="00D41F78" w:rsidRPr="00736D5E" w:rsidRDefault="002E5C79" w:rsidP="001A7A7A">
      <w:pPr>
        <w:widowControl w:val="0"/>
        <w:spacing w:line="480" w:lineRule="auto"/>
        <w:ind w:firstLine="720"/>
      </w:pPr>
      <w:r w:rsidRPr="00736D5E">
        <w:t>Looking forward</w:t>
      </w:r>
      <w:r w:rsidR="00A74188" w:rsidRPr="00736D5E">
        <w:t xml:space="preserve"> to retirement predicts more anticipatory socialization behaviors for both husbands and wives</w:t>
      </w:r>
      <w:r w:rsidRPr="00736D5E">
        <w:t>, which is consistent with the findings of Ekerdt et al. (2000)</w:t>
      </w:r>
      <w:r w:rsidR="0070693A" w:rsidRPr="00736D5E">
        <w:t xml:space="preserve">. </w:t>
      </w:r>
      <w:r w:rsidR="008C11BE" w:rsidRPr="00736D5E">
        <w:t xml:space="preserve">It makes sense that those for whom retirement is an anticipated occurrence would spend more time thinking about and discussing retirement, while those who are uneasy about retirement might avoid the topic. Interestingly, this study found that </w:t>
      </w:r>
      <w:r w:rsidR="00BE03CD" w:rsidRPr="00736D5E">
        <w:t xml:space="preserve">when husbands are looking forward to </w:t>
      </w:r>
      <w:r w:rsidR="008C11BE" w:rsidRPr="00736D5E">
        <w:t>retirement</w:t>
      </w:r>
      <w:r w:rsidR="00BE03CD" w:rsidRPr="00736D5E">
        <w:t>, this increases the anticipatory socialization of wives, but the reverse is not true.</w:t>
      </w:r>
      <w:r w:rsidR="008C11BE" w:rsidRPr="00736D5E">
        <w:t xml:space="preserve"> </w:t>
      </w:r>
      <w:r w:rsidR="00BE03CD" w:rsidRPr="00736D5E">
        <w:t>This finding could indicate that wives are more aware of their husband’s feelings about retirement; wives may also adjust their retirement attitudes and expectations to those of their husband</w:t>
      </w:r>
      <w:r w:rsidR="00A74188" w:rsidRPr="00736D5E">
        <w:t>.</w:t>
      </w:r>
      <w:r w:rsidR="00984291" w:rsidRPr="00736D5E">
        <w:t xml:space="preserve"> </w:t>
      </w:r>
    </w:p>
    <w:p w:rsidR="00A74188" w:rsidRPr="00736D5E" w:rsidRDefault="00A74188" w:rsidP="001A7A7A">
      <w:pPr>
        <w:widowControl w:val="0"/>
        <w:spacing w:line="480" w:lineRule="auto"/>
        <w:ind w:firstLine="720"/>
      </w:pPr>
      <w:r w:rsidRPr="00736D5E">
        <w:t xml:space="preserve">Although there were many advantages to using data from the Health and Retirement Survey, there were also some </w:t>
      </w:r>
      <w:r w:rsidR="00BE03CD" w:rsidRPr="00736D5E">
        <w:t>limitations</w:t>
      </w:r>
      <w:r w:rsidRPr="00736D5E">
        <w:t xml:space="preserve">. For example, the survey did not provide a definition for what was meant by “how much have you thought about retirement?”, or what constitutes retirement. </w:t>
      </w:r>
      <w:r w:rsidR="000D6A44" w:rsidRPr="00736D5E">
        <w:t xml:space="preserve">HRS data do not permit </w:t>
      </w:r>
      <w:r w:rsidR="004F5392" w:rsidRPr="00736D5E">
        <w:t>longitudinal analysis of anticipatory socialization</w:t>
      </w:r>
      <w:r w:rsidR="0012322A" w:rsidRPr="00736D5E">
        <w:t xml:space="preserve"> since two of the three items </w:t>
      </w:r>
      <w:r w:rsidR="005922E0" w:rsidRPr="00736D5E">
        <w:t xml:space="preserve">(i.e., amount talking about retirement with spouse, amount talking about retirement with friends or co-workers) in the scale </w:t>
      </w:r>
      <w:r w:rsidR="0012322A" w:rsidRPr="00736D5E">
        <w:t xml:space="preserve">are not asked again </w:t>
      </w:r>
      <w:r w:rsidR="005922E0" w:rsidRPr="00736D5E">
        <w:t xml:space="preserve">in subsequent biannual surveys, </w:t>
      </w:r>
      <w:r w:rsidR="000D6A44" w:rsidRPr="00736D5E">
        <w:t xml:space="preserve">yet </w:t>
      </w:r>
      <w:r w:rsidR="00BE03CD" w:rsidRPr="00736D5E">
        <w:t xml:space="preserve">research is needed to examine </w:t>
      </w:r>
      <w:r w:rsidR="000D6A44" w:rsidRPr="00736D5E">
        <w:t xml:space="preserve">whether anticipatory socialization changes over time, with age and/or proximity to retirement. </w:t>
      </w:r>
      <w:r w:rsidR="004A181E" w:rsidRPr="00736D5E">
        <w:t xml:space="preserve">Additional </w:t>
      </w:r>
      <w:r w:rsidR="000D6A44" w:rsidRPr="00736D5E">
        <w:t>research is also need</w:t>
      </w:r>
      <w:r w:rsidR="00831028">
        <w:t>ed</w:t>
      </w:r>
      <w:r w:rsidR="000D6A44" w:rsidRPr="00736D5E">
        <w:t xml:space="preserve"> to examine </w:t>
      </w:r>
      <w:r w:rsidR="00BE03CD" w:rsidRPr="00736D5E">
        <w:t>the impact of anticipatory socialization in the context of marital dyads over time.</w:t>
      </w:r>
      <w:r w:rsidR="00A36E2E" w:rsidRPr="00736D5E">
        <w:t xml:space="preserve"> For example, </w:t>
      </w:r>
      <w:r w:rsidR="00A36E2E" w:rsidRPr="00736D5E">
        <w:lastRenderedPageBreak/>
        <w:t>researchers could examine retirement outcomes for couples in which one spouse plans and the other does not, and whether more anticipatory socialization predicts better couple-outcomes (e.g., less marital conflict)</w:t>
      </w:r>
      <w:r w:rsidR="00BE03CD" w:rsidRPr="00736D5E">
        <w:t xml:space="preserve">. </w:t>
      </w:r>
    </w:p>
    <w:p w:rsidR="0028133B" w:rsidRPr="00736D5E" w:rsidRDefault="00A74188" w:rsidP="001A7A7A">
      <w:pPr>
        <w:widowControl w:val="0"/>
        <w:spacing w:line="480" w:lineRule="auto"/>
        <w:ind w:firstLine="720"/>
      </w:pPr>
      <w:r w:rsidRPr="00736D5E">
        <w:t xml:space="preserve">Despite its limitations, this study </w:t>
      </w:r>
      <w:r w:rsidR="00913124" w:rsidRPr="00736D5E">
        <w:t>has important implications. Perhaps the most important message in this study’s findings is that soci</w:t>
      </w:r>
      <w:r w:rsidR="00693134" w:rsidRPr="00736D5E">
        <w:t>oeconomic s</w:t>
      </w:r>
      <w:r w:rsidR="00913124" w:rsidRPr="00736D5E">
        <w:t>tatus</w:t>
      </w:r>
      <w:r w:rsidR="005D2D5A" w:rsidRPr="00736D5E">
        <w:t xml:space="preserve"> </w:t>
      </w:r>
      <w:r w:rsidR="00913124" w:rsidRPr="00736D5E">
        <w:t>significantly impacts anticipatory socialization for retirement for both husbands and wives.</w:t>
      </w:r>
      <w:r w:rsidR="005D2D5A" w:rsidRPr="00736D5E">
        <w:t xml:space="preserve"> </w:t>
      </w:r>
      <w:r w:rsidR="00913124" w:rsidRPr="00736D5E">
        <w:t xml:space="preserve">Although it is imperative that mechanisms are in place to facilitate the role transition to retirement among all employees, </w:t>
      </w:r>
      <w:r w:rsidR="000422F5" w:rsidRPr="00736D5E">
        <w:t xml:space="preserve">women, those who are </w:t>
      </w:r>
      <w:r w:rsidR="00495EA5" w:rsidRPr="00736D5E">
        <w:t>Black</w:t>
      </w:r>
      <w:r w:rsidR="000422F5" w:rsidRPr="00736D5E">
        <w:t xml:space="preserve">, </w:t>
      </w:r>
      <w:r w:rsidR="002A7E14" w:rsidRPr="00736D5E">
        <w:t>those with</w:t>
      </w:r>
      <w:r w:rsidR="005D2D5A" w:rsidRPr="00736D5E">
        <w:t xml:space="preserve"> l</w:t>
      </w:r>
      <w:r w:rsidR="00913124" w:rsidRPr="00736D5E">
        <w:t>ower income</w:t>
      </w:r>
      <w:r w:rsidR="002A7E14" w:rsidRPr="00736D5E">
        <w:t>s</w:t>
      </w:r>
      <w:r w:rsidR="000422F5" w:rsidRPr="00736D5E">
        <w:t>, men with lower</w:t>
      </w:r>
      <w:r w:rsidR="002A7E14" w:rsidRPr="00736D5E">
        <w:t xml:space="preserve"> </w:t>
      </w:r>
      <w:r w:rsidR="00913124" w:rsidRPr="00736D5E">
        <w:t>education,</w:t>
      </w:r>
      <w:r w:rsidR="005D2D5A" w:rsidRPr="00736D5E">
        <w:t xml:space="preserve"> </w:t>
      </w:r>
      <w:r w:rsidR="002A7E14" w:rsidRPr="00736D5E">
        <w:t xml:space="preserve">and </w:t>
      </w:r>
      <w:r w:rsidR="000422F5" w:rsidRPr="00736D5E">
        <w:t>couples</w:t>
      </w:r>
      <w:r w:rsidR="002A7E14" w:rsidRPr="00736D5E">
        <w:t xml:space="preserve"> </w:t>
      </w:r>
      <w:r w:rsidR="005D2D5A" w:rsidRPr="00736D5E">
        <w:t>lacking retirement accounts</w:t>
      </w:r>
      <w:r w:rsidR="00913124" w:rsidRPr="00736D5E">
        <w:t xml:space="preserve"> may be at greater risk for negative retirement outcomes as a result of less socialization for their new role. </w:t>
      </w:r>
      <w:r w:rsidR="004202E2" w:rsidRPr="00736D5E">
        <w:t xml:space="preserve">Therefore, there is a need for specialized retirement preparation programs that target these populations. </w:t>
      </w:r>
      <w:r w:rsidR="00913124" w:rsidRPr="00736D5E">
        <w:t>Retirement education programs have been shown to have immediate and positive effect with respect to retirement knowledge and planning</w:t>
      </w:r>
      <w:r w:rsidR="00BE03CD" w:rsidRPr="00736D5E">
        <w:t xml:space="preserve"> (e.g., Kamouri &amp; Cavanaugh, 1986). </w:t>
      </w:r>
      <w:r w:rsidR="003205F6" w:rsidRPr="00736D5E">
        <w:t>Larger companies with h</w:t>
      </w:r>
      <w:r w:rsidR="00913124" w:rsidRPr="00736D5E">
        <w:t xml:space="preserve">uman resource departments or employee assistance programs could offer in-house retirement education programs that include social and emotional aspects related to retirement (e.g., planning for leisure activities, strategies for reducing anxiety). </w:t>
      </w:r>
      <w:r w:rsidR="003205F6" w:rsidRPr="00736D5E">
        <w:t xml:space="preserve">Smaller companies or the self-employed </w:t>
      </w:r>
      <w:r w:rsidR="00F32AF2" w:rsidRPr="00736D5E">
        <w:t xml:space="preserve">may </w:t>
      </w:r>
      <w:r w:rsidR="004B055D" w:rsidRPr="00736D5E">
        <w:t xml:space="preserve">address the financial need </w:t>
      </w:r>
      <w:r w:rsidR="00C22F71" w:rsidRPr="00736D5E">
        <w:t>through</w:t>
      </w:r>
      <w:r w:rsidR="00F32AF2" w:rsidRPr="00736D5E">
        <w:t xml:space="preserve"> Simple-IRAs, but they </w:t>
      </w:r>
      <w:r w:rsidR="003205F6" w:rsidRPr="00736D5E">
        <w:t>will need to be more creative in obtaining</w:t>
      </w:r>
      <w:r w:rsidR="00F32AF2" w:rsidRPr="00736D5E">
        <w:t xml:space="preserve"> </w:t>
      </w:r>
      <w:r w:rsidR="00C22F71" w:rsidRPr="00736D5E">
        <w:t>o</w:t>
      </w:r>
      <w:r w:rsidR="00F32AF2" w:rsidRPr="00736D5E">
        <w:t>the</w:t>
      </w:r>
      <w:r w:rsidR="00C22F71" w:rsidRPr="00736D5E">
        <w:t xml:space="preserve">r retirement </w:t>
      </w:r>
      <w:r w:rsidR="00F32AF2" w:rsidRPr="00736D5E">
        <w:t>-related</w:t>
      </w:r>
      <w:r w:rsidR="003205F6" w:rsidRPr="00736D5E">
        <w:t xml:space="preserve"> services.</w:t>
      </w:r>
      <w:r w:rsidR="00F32AF2" w:rsidRPr="00736D5E">
        <w:t xml:space="preserve"> </w:t>
      </w:r>
      <w:r w:rsidR="00C22F71" w:rsidRPr="00736D5E">
        <w:t>To illustrate, i</w:t>
      </w:r>
      <w:r w:rsidR="00F32AF2" w:rsidRPr="00736D5E">
        <w:t>t is likely they will need to partner with larger firms</w:t>
      </w:r>
      <w:r w:rsidR="00C22F71" w:rsidRPr="00736D5E">
        <w:t>, universities, or retirement planners</w:t>
      </w:r>
      <w:r w:rsidR="004B055D" w:rsidRPr="00736D5E">
        <w:t xml:space="preserve"> in their communities.</w:t>
      </w:r>
    </w:p>
    <w:p w:rsidR="00571D8A" w:rsidRPr="00736D5E" w:rsidRDefault="00913124" w:rsidP="001A7A7A">
      <w:pPr>
        <w:widowControl w:val="0"/>
        <w:spacing w:line="480" w:lineRule="auto"/>
        <w:ind w:firstLine="720"/>
      </w:pPr>
      <w:r w:rsidRPr="00736D5E">
        <w:t>Another important message conveyed by the findings is that wives, on average, engage in less anticipatory socialization than their husbands and may need retirement programs targeted specifically to their needs and concerns.</w:t>
      </w:r>
      <w:r w:rsidR="00AB04D6" w:rsidRPr="00736D5E">
        <w:t xml:space="preserve"> For example, employers and non-profit organizations such as AARP could offer retirement planning workshops specifically geared toward women. </w:t>
      </w:r>
      <w:r w:rsidR="00AB04D6" w:rsidRPr="00736D5E">
        <w:lastRenderedPageBreak/>
        <w:t xml:space="preserve">Meeting in a gender homogenous environment may allow for a level of discussion not likely to occur in </w:t>
      </w:r>
      <w:r w:rsidR="00467492" w:rsidRPr="00736D5E">
        <w:t xml:space="preserve">a </w:t>
      </w:r>
      <w:r w:rsidR="00AB04D6" w:rsidRPr="00736D5E">
        <w:t>gender heterogeneous</w:t>
      </w:r>
      <w:r w:rsidR="007D24AB" w:rsidRPr="00736D5E">
        <w:t xml:space="preserve"> environment</w:t>
      </w:r>
      <w:r w:rsidR="00AB04D6" w:rsidRPr="00736D5E">
        <w:t>.</w:t>
      </w:r>
      <w:r w:rsidRPr="00736D5E">
        <w:t xml:space="preserve"> </w:t>
      </w:r>
      <w:r w:rsidR="00AB04D6" w:rsidRPr="00736D5E">
        <w:t>Another option would be to offer retirement planning sessions for married couples with both joint (husbands and wives together) and individual (husbands and wives in separate groups) components.</w:t>
      </w:r>
    </w:p>
    <w:p w:rsidR="00F10049" w:rsidRPr="00736D5E" w:rsidRDefault="00F10049" w:rsidP="00F10049">
      <w:pPr>
        <w:widowControl w:val="0"/>
        <w:spacing w:line="480" w:lineRule="auto"/>
        <w:jc w:val="center"/>
      </w:pPr>
      <w:r w:rsidRPr="00736D5E">
        <w:t>Implications</w:t>
      </w:r>
      <w:r w:rsidR="00F534B9" w:rsidRPr="00736D5E">
        <w:t xml:space="preserve"> </w:t>
      </w:r>
      <w:r w:rsidRPr="00736D5E">
        <w:t xml:space="preserve">for </w:t>
      </w:r>
      <w:r w:rsidR="00F534B9" w:rsidRPr="00736D5E">
        <w:t xml:space="preserve">Gerontological </w:t>
      </w:r>
      <w:r w:rsidRPr="00736D5E">
        <w:t>Practice</w:t>
      </w:r>
    </w:p>
    <w:p w:rsidR="00FA7157" w:rsidRPr="00736D5E" w:rsidRDefault="00FA7157" w:rsidP="00FA7157">
      <w:pPr>
        <w:widowControl w:val="0"/>
        <w:spacing w:line="480" w:lineRule="auto"/>
        <w:ind w:firstLine="720"/>
        <w:rPr>
          <w:color w:val="000000" w:themeColor="text1"/>
        </w:rPr>
      </w:pPr>
      <w:r w:rsidRPr="00736D5E">
        <w:t>Planning for retirement can help couples clarify role expectations and other issues that accompany more role transitions, and thereby reduce miscommunication and conflict. Thus, it is important for employers, human resource personnel, therapists (e.g., social workers, clinical gerontologists</w:t>
      </w:r>
      <w:r w:rsidR="00804BCD" w:rsidRPr="00736D5E">
        <w:t xml:space="preserve"> engaged in mental health</w:t>
      </w:r>
      <w:r w:rsidRPr="00736D5E">
        <w:t xml:space="preserve">, psychologists, marriage and family counselors), and professional planners to encourage anticipatory socialization for retirement by couples. This advice may be more salient in our current economic situation because </w:t>
      </w:r>
      <w:r w:rsidRPr="00736D5E">
        <w:rPr>
          <w:color w:val="000000" w:themeColor="text1"/>
        </w:rPr>
        <w:t xml:space="preserve">the meaning and nature of work and retirement is undergoing a transformation (Time Special Report, 2009), which will have ripple effects on retirement earnings and timing. According to a 2009 AARP survey, “twenty-seven percent of those in the age group approaching retirement age (i.e., ages 55-64) reported postponing plans to retire” and twelve percent had returned to work after retiring (Rainville, 2009, p. 1).  </w:t>
      </w:r>
    </w:p>
    <w:p w:rsidR="00FA7157" w:rsidRPr="00736D5E" w:rsidRDefault="00FA7157" w:rsidP="00FA7157">
      <w:pPr>
        <w:widowControl w:val="0"/>
        <w:spacing w:line="480" w:lineRule="auto"/>
        <w:ind w:firstLine="720"/>
      </w:pPr>
      <w:r w:rsidRPr="00736D5E">
        <w:t xml:space="preserve">This phenomenon of working during retirement, or becoming less retired, also affects married couples. Previous research has found that the number of retirement transitions </w:t>
      </w:r>
      <w:r w:rsidR="007B0141" w:rsidRPr="00736D5E">
        <w:t>(</w:t>
      </w:r>
      <w:r w:rsidR="00136290" w:rsidRPr="00736D5E">
        <w:t xml:space="preserve">e.g., going from working </w:t>
      </w:r>
      <w:r w:rsidR="007B0141" w:rsidRPr="00736D5E">
        <w:t xml:space="preserve">full-time to </w:t>
      </w:r>
      <w:r w:rsidR="00136290" w:rsidRPr="00736D5E">
        <w:t>being partly or completely retired, or returning back to work after retirement)</w:t>
      </w:r>
      <w:r w:rsidR="007B0141" w:rsidRPr="00736D5E">
        <w:t xml:space="preserve"> </w:t>
      </w:r>
      <w:r w:rsidRPr="00736D5E">
        <w:t xml:space="preserve">is positively correlated for spouses, and that spouses often share the same work-retirement transition patterns (Curl &amp; Townsend, 2008). Thus, </w:t>
      </w:r>
      <w:r w:rsidR="00831028">
        <w:t xml:space="preserve">geriatric mental health </w:t>
      </w:r>
      <w:r w:rsidR="00347DF3" w:rsidRPr="00736D5E">
        <w:t>prof</w:t>
      </w:r>
      <w:r w:rsidRPr="00736D5E">
        <w:t xml:space="preserve">essionals </w:t>
      </w:r>
      <w:r w:rsidR="00347DF3" w:rsidRPr="00736D5E">
        <w:t>should encourage clients to discuss their plans, fears, anxieties, and expectations about their upcoming retirement</w:t>
      </w:r>
      <w:r w:rsidR="002A7E14" w:rsidRPr="00736D5E">
        <w:t xml:space="preserve"> with their spouse and othe</w:t>
      </w:r>
      <w:r w:rsidR="00A11C30" w:rsidRPr="00736D5E">
        <w:t>rs</w:t>
      </w:r>
      <w:r w:rsidR="00347DF3" w:rsidRPr="00736D5E">
        <w:t xml:space="preserve">. </w:t>
      </w:r>
    </w:p>
    <w:p w:rsidR="00F10049" w:rsidRPr="00736D5E" w:rsidRDefault="00F10049" w:rsidP="00F10049">
      <w:pPr>
        <w:widowControl w:val="0"/>
        <w:spacing w:line="480" w:lineRule="auto"/>
        <w:ind w:firstLine="720"/>
      </w:pPr>
      <w:r w:rsidRPr="00736D5E">
        <w:lastRenderedPageBreak/>
        <w:t xml:space="preserve">Admittedly, a small minority of individuals or couples may seek retirement counseling from a </w:t>
      </w:r>
      <w:r w:rsidR="00FA7157" w:rsidRPr="00736D5E">
        <w:t xml:space="preserve">mental health professional (i.e., </w:t>
      </w:r>
      <w:r w:rsidR="0082655E" w:rsidRPr="00736D5E">
        <w:t>gerontological social worker</w:t>
      </w:r>
      <w:r w:rsidR="00804BCD" w:rsidRPr="00736D5E">
        <w:t xml:space="preserve"> specializing in mental health</w:t>
      </w:r>
      <w:r w:rsidR="00FA7157" w:rsidRPr="00736D5E">
        <w:t>)</w:t>
      </w:r>
      <w:r w:rsidRPr="00736D5E">
        <w:t xml:space="preserve">.  However, some may seek out or be referred to counseling for symptoms such as clinical depression and/or anxiety related to difficulty in accepting the upcoming change in role or status.  </w:t>
      </w:r>
      <w:r w:rsidR="00831028">
        <w:t>Geriatric mental health professionals</w:t>
      </w:r>
      <w:r w:rsidRPr="00736D5E">
        <w:t xml:space="preserve"> may </w:t>
      </w:r>
      <w:r w:rsidR="0082655E" w:rsidRPr="00736D5E">
        <w:t xml:space="preserve">also </w:t>
      </w:r>
      <w:r w:rsidRPr="00736D5E">
        <w:t xml:space="preserve">focus on possible changes in relationships with </w:t>
      </w:r>
      <w:r w:rsidR="0082655E" w:rsidRPr="00736D5E">
        <w:t>the client</w:t>
      </w:r>
      <w:r w:rsidR="002A7E14" w:rsidRPr="00736D5E">
        <w:t>’</w:t>
      </w:r>
      <w:r w:rsidR="0082655E" w:rsidRPr="00736D5E">
        <w:t xml:space="preserve">s anticipatory socialization network (i.e., </w:t>
      </w:r>
      <w:r w:rsidRPr="00736D5E">
        <w:t>family, friends, and co</w:t>
      </w:r>
      <w:r w:rsidR="002A7E14" w:rsidRPr="00736D5E">
        <w:t>-</w:t>
      </w:r>
      <w:r w:rsidRPr="00736D5E">
        <w:t>workers</w:t>
      </w:r>
      <w:r w:rsidR="0082655E" w:rsidRPr="00736D5E">
        <w:t>)</w:t>
      </w:r>
      <w:r w:rsidRPr="00736D5E">
        <w:t xml:space="preserve">, and provide information and referral to community-based services </w:t>
      </w:r>
      <w:r w:rsidR="00FA7157" w:rsidRPr="00736D5E">
        <w:t>as needed</w:t>
      </w:r>
      <w:r w:rsidRPr="00736D5E">
        <w:t xml:space="preserve">.  </w:t>
      </w:r>
    </w:p>
    <w:p w:rsidR="00F10049" w:rsidRPr="00736D5E" w:rsidRDefault="00F10049" w:rsidP="00F10049">
      <w:pPr>
        <w:widowControl w:val="0"/>
        <w:spacing w:line="480" w:lineRule="auto"/>
        <w:ind w:firstLine="720"/>
      </w:pPr>
      <w:r w:rsidRPr="00736D5E">
        <w:t xml:space="preserve">It is also possible that individuals </w:t>
      </w:r>
      <w:r w:rsidR="0082655E" w:rsidRPr="00736D5E">
        <w:t xml:space="preserve">or couples </w:t>
      </w:r>
      <w:r w:rsidRPr="00736D5E">
        <w:t xml:space="preserve">currently involved in counseling may have unspoken concerns about retirement (financial and otherwise). Therefore, practitioners may </w:t>
      </w:r>
      <w:r w:rsidR="002A7E14" w:rsidRPr="00736D5E">
        <w:t>assist</w:t>
      </w:r>
      <w:r w:rsidRPr="00736D5E">
        <w:t xml:space="preserve"> clients by asking those who are close to retirement age if they have concerns about the upcoming transition. Counseling may increase anticipatory socialization and subsequently ease the eventual transition into retirement.</w:t>
      </w:r>
    </w:p>
    <w:p w:rsidR="00FF3BC6" w:rsidRPr="00736D5E" w:rsidRDefault="007245D0" w:rsidP="00F10049">
      <w:pPr>
        <w:widowControl w:val="0"/>
        <w:spacing w:line="480" w:lineRule="auto"/>
        <w:ind w:firstLine="720"/>
      </w:pPr>
      <w:r w:rsidRPr="00736D5E">
        <w:t xml:space="preserve">Those who fail to engage in preparing emotionally and socially may experience depression as they transition to retirement. </w:t>
      </w:r>
      <w:r w:rsidR="00CC3F89" w:rsidRPr="00736D5E">
        <w:t xml:space="preserve">In fact, retirement planning has been found to be associated with lower retirement-related depression </w:t>
      </w:r>
      <w:r w:rsidR="00CC3F89" w:rsidRPr="00736D5E">
        <w:fldChar w:fldCharType="begin"/>
      </w:r>
      <w:r w:rsidR="00CC3F89" w:rsidRPr="00736D5E">
        <w:instrText xml:space="preserve"> ADDIN EN.CITE &lt;EndNote&gt;&lt;Cite&gt;&lt;Author&gt;Fretz&lt;/Author&gt;&lt;Year&gt;1989&lt;/Year&gt;&lt;RecNum&gt;300&lt;/RecNum&gt;&lt;MDL&gt;&lt;REFERENCE_TYPE&gt;0&lt;/REFERENCE_TYPE&gt;&lt;AUTHORS&gt;&lt;AUTHOR&gt;Fretz, B. R.&lt;/AUTHOR&gt;&lt;AUTHOR&gt;Kluge, N. A.&lt;/AUTHOR&gt;&lt;AUTHOR&gt;Ossana, S. M.&lt;/AUTHOR&gt;&lt;AUTHOR&gt;Jones, S. M.&lt;/AUTHOR&gt;&lt;AUTHOR&gt;Merikangas, M. W.&lt;/AUTHOR&gt;&lt;/AUTHORS&gt;&lt;YEAR&gt;1989&lt;/YEAR&gt;&lt;TITLE&gt;Intervention targets for reducing preretirement anxiety and depression&lt;/TITLE&gt;&lt;SECONDARY_TITLE&gt;Journal of Counseling Psychology&lt;/SECONDARY_TITLE&gt;&lt;VOLUME&gt;36&lt;/VOLUME&gt;&lt;PAGES&gt;301-307&lt;/PAGES&gt;&lt;/MDL&gt;&lt;/Cite&gt;&lt;/EndNote&gt;</w:instrText>
      </w:r>
      <w:r w:rsidR="00CC3F89" w:rsidRPr="00736D5E">
        <w:fldChar w:fldCharType="separate"/>
      </w:r>
      <w:r w:rsidR="00CC3F89" w:rsidRPr="00736D5E">
        <w:t>(Fretz, Kluge, Ossana, Jones, &amp; Merikangas, 1989)</w:t>
      </w:r>
      <w:r w:rsidR="00CC3F89" w:rsidRPr="00736D5E">
        <w:fldChar w:fldCharType="end"/>
      </w:r>
      <w:r w:rsidR="00CC3F89" w:rsidRPr="00736D5E">
        <w:t xml:space="preserve">. </w:t>
      </w:r>
      <w:r w:rsidR="0083059C" w:rsidRPr="00736D5E">
        <w:t xml:space="preserve">One </w:t>
      </w:r>
      <w:r w:rsidR="00CC3F89" w:rsidRPr="00736D5E">
        <w:t xml:space="preserve">therapeutic </w:t>
      </w:r>
      <w:r w:rsidR="0083059C" w:rsidRPr="00736D5E">
        <w:t xml:space="preserve">approach to </w:t>
      </w:r>
      <w:r w:rsidR="00FF3BC6" w:rsidRPr="00736D5E">
        <w:t xml:space="preserve">treating retirement-related depression </w:t>
      </w:r>
      <w:r w:rsidR="00CC3F89" w:rsidRPr="00736D5E">
        <w:t xml:space="preserve">is behavior therapy. </w:t>
      </w:r>
    </w:p>
    <w:p w:rsidR="0083059C" w:rsidRPr="00736D5E" w:rsidRDefault="00185D51" w:rsidP="00F10049">
      <w:pPr>
        <w:widowControl w:val="0"/>
        <w:spacing w:line="480" w:lineRule="auto"/>
        <w:ind w:firstLine="720"/>
      </w:pPr>
      <w:r w:rsidRPr="00736D5E">
        <w:t xml:space="preserve">Behavior therapy is used to </w:t>
      </w:r>
      <w:r w:rsidR="00FF3BC6" w:rsidRPr="00736D5E">
        <w:t>weaken the connections between what clients think about retirement and their undesirable reaction</w:t>
      </w:r>
      <w:r w:rsidR="00645244" w:rsidRPr="00736D5E">
        <w:t xml:space="preserve"> to it</w:t>
      </w:r>
      <w:r w:rsidR="00FF3BC6" w:rsidRPr="00736D5E">
        <w:t xml:space="preserve"> </w:t>
      </w:r>
      <w:r w:rsidR="00645244" w:rsidRPr="00736D5E">
        <w:t>(Dattilio, 2010)</w:t>
      </w:r>
      <w:r w:rsidR="00FF3BC6" w:rsidRPr="00736D5E">
        <w:t xml:space="preserve">. Using </w:t>
      </w:r>
      <w:r w:rsidRPr="00736D5E">
        <w:t xml:space="preserve">this </w:t>
      </w:r>
      <w:r w:rsidR="00FF3BC6" w:rsidRPr="00736D5E">
        <w:t>model, p</w:t>
      </w:r>
      <w:r w:rsidR="00CC3F89" w:rsidRPr="00736D5E">
        <w:t xml:space="preserve">ractitioners </w:t>
      </w:r>
      <w:r w:rsidR="00645244" w:rsidRPr="00736D5E">
        <w:t xml:space="preserve">can use behavior therapy to </w:t>
      </w:r>
      <w:r w:rsidR="00CC3F89" w:rsidRPr="00736D5E">
        <w:t xml:space="preserve">encourage clients </w:t>
      </w:r>
      <w:r w:rsidR="00645244" w:rsidRPr="00736D5E">
        <w:t xml:space="preserve">approaching retirement </w:t>
      </w:r>
      <w:r w:rsidR="00CC3F89" w:rsidRPr="00736D5E">
        <w:t xml:space="preserve">to engage in </w:t>
      </w:r>
      <w:r w:rsidR="0083059C" w:rsidRPr="00736D5E">
        <w:t>anticipatory socialization activities</w:t>
      </w:r>
      <w:r w:rsidR="00FF3BC6" w:rsidRPr="00736D5E">
        <w:t xml:space="preserve"> rather than withdraw or otherwise disengage from planning activities. Ideally, clients would seek out </w:t>
      </w:r>
      <w:r w:rsidRPr="00736D5E">
        <w:t xml:space="preserve">individuals </w:t>
      </w:r>
      <w:r w:rsidR="00FF3BC6" w:rsidRPr="00736D5E">
        <w:t>with whom they could discuss retirement planning</w:t>
      </w:r>
      <w:r w:rsidRPr="00736D5E">
        <w:t xml:space="preserve"> which, in turn, may promote well-being and lessen depressive symptoms</w:t>
      </w:r>
      <w:r w:rsidR="0083059C" w:rsidRPr="00736D5E">
        <w:t xml:space="preserve">. </w:t>
      </w:r>
      <w:r w:rsidRPr="00736D5E">
        <w:t>To further add pleasure to retirement planning, r</w:t>
      </w:r>
      <w:r w:rsidR="0083059C" w:rsidRPr="00736D5E">
        <w:t xml:space="preserve">elaxation techniques could be </w:t>
      </w:r>
      <w:r w:rsidRPr="00736D5E">
        <w:t>incorporated into sessions</w:t>
      </w:r>
      <w:r w:rsidR="0083059C" w:rsidRPr="00736D5E">
        <w:t xml:space="preserve">. </w:t>
      </w:r>
    </w:p>
    <w:p w:rsidR="005705FE" w:rsidRPr="00736D5E" w:rsidRDefault="006D24FA" w:rsidP="001A7A7A">
      <w:pPr>
        <w:widowControl w:val="0"/>
        <w:spacing w:line="480" w:lineRule="auto"/>
        <w:ind w:firstLine="720"/>
      </w:pPr>
      <w:r w:rsidRPr="00736D5E">
        <w:lastRenderedPageBreak/>
        <w:t xml:space="preserve">While counseling is not financially available to everyone, engagement in other anticipatory socialization strategies, such as talking to other retirees and pre-planning with one’s spouse, does not require financial resources. Therefore, </w:t>
      </w:r>
      <w:r w:rsidR="00347DF3" w:rsidRPr="00736D5E">
        <w:t>m</w:t>
      </w:r>
      <w:r w:rsidR="00A74188" w:rsidRPr="00736D5E">
        <w:t xml:space="preserve">entally and socially preparing for the role transition to retiree is accessible to </w:t>
      </w:r>
      <w:r w:rsidR="00497757" w:rsidRPr="00736D5E">
        <w:t xml:space="preserve">all </w:t>
      </w:r>
      <w:r w:rsidR="008F28D4" w:rsidRPr="00736D5E">
        <w:t xml:space="preserve">couples </w:t>
      </w:r>
      <w:r w:rsidR="00347DF3" w:rsidRPr="00736D5E">
        <w:t>regardless of gender, race, or socioeconomic status</w:t>
      </w:r>
      <w:r w:rsidRPr="00736D5E">
        <w:t>, and should be encouraged</w:t>
      </w:r>
      <w:r w:rsidR="00A74188" w:rsidRPr="00736D5E">
        <w:t xml:space="preserve">. </w:t>
      </w:r>
    </w:p>
    <w:p w:rsidR="00A970DC" w:rsidRPr="00736D5E" w:rsidRDefault="005705FE" w:rsidP="001A7A7A">
      <w:pPr>
        <w:widowControl w:val="0"/>
        <w:spacing w:line="480" w:lineRule="auto"/>
        <w:jc w:val="center"/>
        <w:rPr>
          <w:iCs/>
        </w:rPr>
      </w:pPr>
      <w:r w:rsidRPr="00736D5E">
        <w:br w:type="page"/>
      </w:r>
      <w:r w:rsidR="00A970DC" w:rsidRPr="00736D5E">
        <w:rPr>
          <w:iCs/>
        </w:rPr>
        <w:lastRenderedPageBreak/>
        <w:t>References</w:t>
      </w:r>
    </w:p>
    <w:p w:rsidR="008F7418" w:rsidRPr="00736D5E" w:rsidRDefault="008F7418" w:rsidP="001A7A7A">
      <w:pPr>
        <w:pStyle w:val="NormalWeb"/>
        <w:widowControl w:val="0"/>
        <w:spacing w:before="0" w:beforeAutospacing="0" w:after="0" w:afterAutospacing="0" w:line="480" w:lineRule="auto"/>
        <w:ind w:left="346" w:hanging="346"/>
        <w:rPr>
          <w:rFonts w:ascii="Times New Roman" w:hAnsi="Times New Roman" w:cs="Times New Roman"/>
          <w:iCs/>
          <w:sz w:val="24"/>
          <w:szCs w:val="24"/>
        </w:rPr>
      </w:pPr>
      <w:r w:rsidRPr="00736D5E">
        <w:rPr>
          <w:rFonts w:ascii="Times New Roman" w:hAnsi="Times New Roman" w:cs="Times New Roman"/>
          <w:sz w:val="24"/>
          <w:szCs w:val="24"/>
        </w:rPr>
        <w:t>Administration on Aging. (</w:t>
      </w:r>
      <w:r w:rsidR="0017107D" w:rsidRPr="00736D5E">
        <w:rPr>
          <w:rFonts w:ascii="Times New Roman" w:hAnsi="Times New Roman" w:cs="Times New Roman"/>
          <w:sz w:val="24"/>
          <w:szCs w:val="24"/>
        </w:rPr>
        <w:t>2011</w:t>
      </w:r>
      <w:r w:rsidRPr="00736D5E">
        <w:rPr>
          <w:rFonts w:ascii="Times New Roman" w:hAnsi="Times New Roman" w:cs="Times New Roman"/>
          <w:sz w:val="24"/>
          <w:szCs w:val="24"/>
        </w:rPr>
        <w:t>).</w:t>
      </w:r>
      <w:r w:rsidR="00D45E78" w:rsidRPr="00736D5E">
        <w:rPr>
          <w:rFonts w:ascii="Times New Roman" w:hAnsi="Times New Roman" w:cs="Times New Roman"/>
          <w:sz w:val="24"/>
          <w:szCs w:val="24"/>
        </w:rPr>
        <w:t xml:space="preserve"> </w:t>
      </w:r>
      <w:r w:rsidR="00D45E78" w:rsidRPr="00736D5E">
        <w:rPr>
          <w:rFonts w:ascii="Times New Roman" w:hAnsi="Times New Roman" w:cs="Times New Roman"/>
          <w:bCs/>
          <w:i/>
          <w:sz w:val="24"/>
          <w:szCs w:val="24"/>
        </w:rPr>
        <w:t xml:space="preserve">A profile of older Americans: </w:t>
      </w:r>
      <w:r w:rsidR="0017107D" w:rsidRPr="00736D5E">
        <w:rPr>
          <w:rFonts w:ascii="Times New Roman" w:hAnsi="Times New Roman" w:cs="Times New Roman"/>
          <w:bCs/>
          <w:i/>
          <w:sz w:val="24"/>
          <w:szCs w:val="24"/>
        </w:rPr>
        <w:t>2010</w:t>
      </w:r>
      <w:r w:rsidRPr="00736D5E">
        <w:rPr>
          <w:rFonts w:ascii="Times New Roman" w:hAnsi="Times New Roman" w:cs="Times New Roman"/>
          <w:sz w:val="24"/>
          <w:szCs w:val="24"/>
        </w:rPr>
        <w:t xml:space="preserve">. Retrieved from </w:t>
      </w:r>
      <w:r w:rsidR="0017107D" w:rsidRPr="00736D5E">
        <w:rPr>
          <w:rFonts w:ascii="Times New Roman" w:hAnsi="Times New Roman" w:cs="Times New Roman"/>
          <w:sz w:val="24"/>
          <w:szCs w:val="24"/>
        </w:rPr>
        <w:t>http://www.aoa.gov/AoARoot/Aging_Statistics/Profile/2010/docs/2010profile.pdf</w:t>
      </w:r>
    </w:p>
    <w:p w:rsidR="00B30401" w:rsidRPr="00736D5E" w:rsidRDefault="00B30401" w:rsidP="001A7A7A">
      <w:pPr>
        <w:widowControl w:val="0"/>
        <w:spacing w:line="480" w:lineRule="auto"/>
        <w:ind w:left="342" w:hanging="342"/>
      </w:pPr>
      <w:r w:rsidRPr="00736D5E">
        <w:t xml:space="preserve">Barnett, </w:t>
      </w:r>
      <w:r w:rsidR="006B6F2D" w:rsidRPr="00736D5E">
        <w:t xml:space="preserve">R. C., </w:t>
      </w:r>
      <w:r w:rsidRPr="00736D5E">
        <w:t xml:space="preserve">Marshall, </w:t>
      </w:r>
      <w:r w:rsidR="006B6F2D" w:rsidRPr="00736D5E">
        <w:t xml:space="preserve">N. L., </w:t>
      </w:r>
      <w:r w:rsidRPr="00736D5E">
        <w:t>Raudenbush</w:t>
      </w:r>
      <w:r w:rsidR="006B6F2D" w:rsidRPr="00736D5E">
        <w:t xml:space="preserve">, S. W., </w:t>
      </w:r>
      <w:r w:rsidRPr="00736D5E">
        <w:t xml:space="preserve">&amp; Brennan, </w:t>
      </w:r>
      <w:r w:rsidR="006B6F2D" w:rsidRPr="00736D5E">
        <w:t>R. T. (</w:t>
      </w:r>
      <w:r w:rsidRPr="00736D5E">
        <w:t>1993</w:t>
      </w:r>
      <w:r w:rsidR="006B6F2D" w:rsidRPr="00736D5E">
        <w:t xml:space="preserve">). Gender and the relationship between job experiences and psychological distress: A study of dual-earner couples. </w:t>
      </w:r>
      <w:r w:rsidR="006B6F2D" w:rsidRPr="00736D5E">
        <w:rPr>
          <w:i/>
        </w:rPr>
        <w:t>Journal of Personality and Social Psychology, 64</w:t>
      </w:r>
      <w:r w:rsidR="006B6F2D" w:rsidRPr="00736D5E">
        <w:t>(5), 794-806.</w:t>
      </w:r>
    </w:p>
    <w:p w:rsidR="00AA60B6" w:rsidRPr="00736D5E" w:rsidRDefault="00AA60B6" w:rsidP="001A7A7A">
      <w:pPr>
        <w:widowControl w:val="0"/>
        <w:spacing w:line="480" w:lineRule="auto"/>
        <w:ind w:left="342" w:hanging="342"/>
        <w:rPr>
          <w:color w:val="000000" w:themeColor="text1"/>
        </w:rPr>
      </w:pPr>
      <w:r w:rsidRPr="00736D5E">
        <w:rPr>
          <w:lang w:val="es-ES"/>
        </w:rPr>
        <w:t>Cano, A., Johansen, A</w:t>
      </w:r>
      <w:r w:rsidRPr="00736D5E">
        <w:rPr>
          <w:color w:val="000000" w:themeColor="text1"/>
          <w:lang w:val="es-ES"/>
        </w:rPr>
        <w:t xml:space="preserve">. B., &amp; Franz, A. (2005). </w:t>
      </w:r>
      <w:r w:rsidRPr="00736D5E">
        <w:rPr>
          <w:color w:val="000000" w:themeColor="text1"/>
        </w:rPr>
        <w:t xml:space="preserve">Multilevel analysis of couple congruence on pain, interference, and disability. </w:t>
      </w:r>
      <w:r w:rsidRPr="00736D5E">
        <w:rPr>
          <w:i/>
          <w:color w:val="000000" w:themeColor="text1"/>
        </w:rPr>
        <w:t>Pain, 118</w:t>
      </w:r>
      <w:r w:rsidRPr="00736D5E">
        <w:rPr>
          <w:color w:val="000000" w:themeColor="text1"/>
        </w:rPr>
        <w:t>(3), 369-379.</w:t>
      </w:r>
    </w:p>
    <w:p w:rsidR="00224454" w:rsidRPr="00736D5E" w:rsidRDefault="00224454" w:rsidP="001A7A7A">
      <w:pPr>
        <w:widowControl w:val="0"/>
        <w:spacing w:line="480" w:lineRule="auto"/>
        <w:ind w:left="342" w:hanging="342"/>
        <w:rPr>
          <w:color w:val="000000" w:themeColor="text1"/>
        </w:rPr>
      </w:pPr>
      <w:r w:rsidRPr="00736D5E">
        <w:rPr>
          <w:color w:val="000000" w:themeColor="text1"/>
        </w:rPr>
        <w:t xml:space="preserve">Choi, N. G. (2002). Self-defined retirement status and engagement in paid work among older working-age women: Comparison between childless women and mothers. </w:t>
      </w:r>
      <w:r w:rsidRPr="00736D5E">
        <w:rPr>
          <w:bCs/>
          <w:i/>
          <w:iCs/>
          <w:color w:val="000000" w:themeColor="text1"/>
        </w:rPr>
        <w:t>Sociological Inquiry,</w:t>
      </w:r>
      <w:r w:rsidRPr="00736D5E">
        <w:rPr>
          <w:b/>
          <w:bCs/>
          <w:i/>
          <w:iCs/>
          <w:color w:val="000000" w:themeColor="text1"/>
        </w:rPr>
        <w:t xml:space="preserve"> </w:t>
      </w:r>
      <w:r w:rsidRPr="00736D5E">
        <w:rPr>
          <w:i/>
          <w:color w:val="000000" w:themeColor="text1"/>
        </w:rPr>
        <w:t>72</w:t>
      </w:r>
      <w:r w:rsidRPr="00736D5E">
        <w:rPr>
          <w:color w:val="000000" w:themeColor="text1"/>
        </w:rPr>
        <w:t>(1), 43-71.</w:t>
      </w:r>
    </w:p>
    <w:p w:rsidR="008B5970" w:rsidRPr="00736D5E" w:rsidRDefault="008B5970" w:rsidP="001A7A7A">
      <w:pPr>
        <w:widowControl w:val="0"/>
        <w:spacing w:line="480" w:lineRule="auto"/>
        <w:ind w:left="342" w:hanging="342"/>
        <w:rPr>
          <w:iCs/>
        </w:rPr>
      </w:pPr>
      <w:r w:rsidRPr="00736D5E">
        <w:rPr>
          <w:iCs/>
          <w:color w:val="000000" w:themeColor="text1"/>
        </w:rPr>
        <w:t xml:space="preserve">Curl, A. L., &amp; Townsend, A. L. (2008). Retirement transitions among married couples. </w:t>
      </w:r>
      <w:r w:rsidRPr="00736D5E">
        <w:rPr>
          <w:i/>
          <w:iCs/>
          <w:color w:val="000000" w:themeColor="text1"/>
        </w:rPr>
        <w:t>Journal of Workplace Behavio</w:t>
      </w:r>
      <w:r w:rsidRPr="00736D5E">
        <w:rPr>
          <w:i/>
          <w:iCs/>
        </w:rPr>
        <w:t>ral Health, 23</w:t>
      </w:r>
      <w:r w:rsidRPr="00736D5E">
        <w:rPr>
          <w:iCs/>
        </w:rPr>
        <w:t>(1/2), 89-107.</w:t>
      </w:r>
    </w:p>
    <w:p w:rsidR="002010E4" w:rsidRPr="00736D5E" w:rsidRDefault="002010E4" w:rsidP="001A7A7A">
      <w:pPr>
        <w:widowControl w:val="0"/>
        <w:spacing w:line="480" w:lineRule="auto"/>
        <w:ind w:left="360" w:hanging="360"/>
      </w:pPr>
      <w:r w:rsidRPr="00736D5E">
        <w:rPr>
          <w:lang w:val="es-ES"/>
        </w:rPr>
        <w:t xml:space="preserve">Dahl, S. A., Nilsen, O. A., &amp; Vaage, K. (2000). </w:t>
      </w:r>
      <w:r w:rsidRPr="00736D5E">
        <w:t xml:space="preserve">Work or retirement? Exit routes for Norwegian elderly. </w:t>
      </w:r>
      <w:r w:rsidRPr="00736D5E">
        <w:rPr>
          <w:i/>
          <w:iCs/>
        </w:rPr>
        <w:t xml:space="preserve">Applied Economics, 32, </w:t>
      </w:r>
      <w:r w:rsidRPr="00736D5E">
        <w:t>1865-1876.</w:t>
      </w:r>
    </w:p>
    <w:p w:rsidR="00645244" w:rsidRPr="00736D5E" w:rsidRDefault="00645244" w:rsidP="001A7A7A">
      <w:pPr>
        <w:widowControl w:val="0"/>
        <w:spacing w:line="480" w:lineRule="auto"/>
        <w:ind w:left="342" w:hanging="342"/>
      </w:pPr>
      <w:r w:rsidRPr="00736D5E">
        <w:t xml:space="preserve">Dattilio, F. M. (2010). </w:t>
      </w:r>
      <w:r w:rsidRPr="00736D5E">
        <w:rPr>
          <w:i/>
        </w:rPr>
        <w:t>Cognitive-behavioral therapy with couples and families: A comprehensive guide for clinicians</w:t>
      </w:r>
      <w:r w:rsidRPr="00736D5E">
        <w:t xml:space="preserve">. New York, NY: Guilford Press. </w:t>
      </w:r>
    </w:p>
    <w:p w:rsidR="00016D4B" w:rsidRPr="00736D5E" w:rsidRDefault="001032F7" w:rsidP="001A7A7A">
      <w:pPr>
        <w:widowControl w:val="0"/>
        <w:spacing w:line="480" w:lineRule="auto"/>
        <w:ind w:left="342" w:hanging="342"/>
      </w:pPr>
      <w:r w:rsidRPr="00736D5E">
        <w:t xml:space="preserve">Denton, M. A., Kemp, C. L., French, S., Gafni, A., Joshi, A., Rosenthal, C. J., &amp; Davies, S. (2004). Reflexive planning for later life. </w:t>
      </w:r>
      <w:r w:rsidRPr="00736D5E">
        <w:rPr>
          <w:i/>
        </w:rPr>
        <w:t>Canadian Journal on Aging, 23</w:t>
      </w:r>
      <w:r w:rsidRPr="00736D5E">
        <w:t>(Suppl. 1), S71-S82.</w:t>
      </w:r>
    </w:p>
    <w:p w:rsidR="004E1EA6" w:rsidRPr="00736D5E" w:rsidRDefault="004E1EA6" w:rsidP="001A7A7A">
      <w:pPr>
        <w:widowControl w:val="0"/>
        <w:spacing w:line="480" w:lineRule="auto"/>
        <w:ind w:left="720" w:hanging="720"/>
        <w:rPr>
          <w:iCs/>
        </w:rPr>
      </w:pPr>
      <w:r w:rsidRPr="00736D5E">
        <w:rPr>
          <w:iCs/>
        </w:rPr>
        <w:t xml:space="preserve">Ekerdt, D. J., DeViney, S., &amp; Kosloski, K. (1996). Profiling plans for retirement. </w:t>
      </w:r>
      <w:r w:rsidRPr="00736D5E">
        <w:rPr>
          <w:i/>
          <w:iCs/>
        </w:rPr>
        <w:t>Journal of Gerontology: Social Sciences, 51B</w:t>
      </w:r>
      <w:r w:rsidRPr="00736D5E">
        <w:rPr>
          <w:iCs/>
        </w:rPr>
        <w:t>, S140-S149.</w:t>
      </w:r>
    </w:p>
    <w:p w:rsidR="00AD1E31" w:rsidRPr="00736D5E" w:rsidRDefault="00BE3C6A" w:rsidP="001A7A7A">
      <w:pPr>
        <w:widowControl w:val="0"/>
        <w:spacing w:line="480" w:lineRule="auto"/>
        <w:ind w:left="342" w:hanging="342"/>
        <w:rPr>
          <w:iCs/>
        </w:rPr>
      </w:pPr>
      <w:r w:rsidRPr="00736D5E">
        <w:rPr>
          <w:iCs/>
        </w:rPr>
        <w:t xml:space="preserve">Ekerdt, </w:t>
      </w:r>
      <w:r w:rsidR="009E3158" w:rsidRPr="00736D5E">
        <w:rPr>
          <w:iCs/>
        </w:rPr>
        <w:t xml:space="preserve">D. </w:t>
      </w:r>
      <w:r w:rsidRPr="00736D5E">
        <w:rPr>
          <w:iCs/>
        </w:rPr>
        <w:t xml:space="preserve">J., Kosloski, </w:t>
      </w:r>
      <w:r w:rsidR="009E3158" w:rsidRPr="00736D5E">
        <w:rPr>
          <w:iCs/>
        </w:rPr>
        <w:t xml:space="preserve">K., &amp; </w:t>
      </w:r>
      <w:r w:rsidRPr="00736D5E">
        <w:rPr>
          <w:iCs/>
        </w:rPr>
        <w:t>DeViney</w:t>
      </w:r>
      <w:r w:rsidR="009E3158" w:rsidRPr="00736D5E">
        <w:rPr>
          <w:iCs/>
        </w:rPr>
        <w:t>, S. (</w:t>
      </w:r>
      <w:r w:rsidRPr="00736D5E">
        <w:rPr>
          <w:iCs/>
        </w:rPr>
        <w:t>2000</w:t>
      </w:r>
      <w:r w:rsidR="009E3158" w:rsidRPr="00736D5E">
        <w:rPr>
          <w:iCs/>
        </w:rPr>
        <w:t>)</w:t>
      </w:r>
      <w:r w:rsidRPr="00736D5E">
        <w:rPr>
          <w:iCs/>
        </w:rPr>
        <w:t xml:space="preserve">. The normative anticipation of retirement by older workers. </w:t>
      </w:r>
      <w:r w:rsidRPr="00736D5E">
        <w:rPr>
          <w:i/>
          <w:iCs/>
        </w:rPr>
        <w:t>Research on Aging</w:t>
      </w:r>
      <w:r w:rsidR="009E3158" w:rsidRPr="00736D5E">
        <w:rPr>
          <w:i/>
          <w:iCs/>
        </w:rPr>
        <w:t xml:space="preserve">, </w:t>
      </w:r>
      <w:r w:rsidRPr="00736D5E">
        <w:rPr>
          <w:i/>
          <w:iCs/>
        </w:rPr>
        <w:t>22</w:t>
      </w:r>
      <w:r w:rsidR="009E3158" w:rsidRPr="00736D5E">
        <w:rPr>
          <w:iCs/>
        </w:rPr>
        <w:t xml:space="preserve">, </w:t>
      </w:r>
      <w:r w:rsidRPr="00736D5E">
        <w:rPr>
          <w:iCs/>
        </w:rPr>
        <w:t>3-22.</w:t>
      </w:r>
      <w:r w:rsidR="00AD1E31" w:rsidRPr="00736D5E">
        <w:rPr>
          <w:iCs/>
        </w:rPr>
        <w:t xml:space="preserve"> </w:t>
      </w:r>
    </w:p>
    <w:p w:rsidR="006D01CC" w:rsidRPr="00736D5E" w:rsidRDefault="006D01CC" w:rsidP="001A7A7A">
      <w:pPr>
        <w:widowControl w:val="0"/>
        <w:spacing w:line="480" w:lineRule="auto"/>
        <w:ind w:left="360" w:hanging="360"/>
      </w:pPr>
      <w:r w:rsidRPr="00736D5E">
        <w:lastRenderedPageBreak/>
        <w:t xml:space="preserve">Elder, H. W., &amp; Rudolph, P. M. (1999). Does retirement planning affect the level of retirement satisfaction? </w:t>
      </w:r>
      <w:r w:rsidRPr="00736D5E">
        <w:rPr>
          <w:i/>
        </w:rPr>
        <w:t>Financial Services Review, 8</w:t>
      </w:r>
      <w:r w:rsidRPr="00736D5E">
        <w:t>, 117–127.</w:t>
      </w:r>
    </w:p>
    <w:p w:rsidR="00FF7323" w:rsidRPr="00736D5E" w:rsidRDefault="002010E4" w:rsidP="001A7A7A">
      <w:pPr>
        <w:widowControl w:val="0"/>
        <w:spacing w:line="480" w:lineRule="auto"/>
        <w:ind w:left="360" w:hanging="360"/>
      </w:pPr>
      <w:r w:rsidRPr="00736D5E">
        <w:t xml:space="preserve">Feuerbach, E. J., &amp; Erdwins, C. J. (1994). Women’s retirement: The influence of work history. </w:t>
      </w:r>
      <w:r w:rsidRPr="00736D5E">
        <w:rPr>
          <w:i/>
          <w:iCs/>
        </w:rPr>
        <w:t>Journal of Women &amp; Aging, 6</w:t>
      </w:r>
      <w:r w:rsidRPr="00736D5E">
        <w:t>(3), 69-85.</w:t>
      </w:r>
    </w:p>
    <w:p w:rsidR="00B145BC" w:rsidRPr="00736D5E" w:rsidRDefault="002410A4" w:rsidP="001A7A7A">
      <w:pPr>
        <w:widowControl w:val="0"/>
        <w:spacing w:line="480" w:lineRule="auto"/>
        <w:ind w:left="360" w:hanging="360"/>
      </w:pPr>
      <w:r w:rsidRPr="00736D5E">
        <w:t xml:space="preserve">Fitzpatrick, T. R., Vinick, B. H., &amp; Bushfield, S. (2005). Anticipated and experienced changes in activities after husbands retire. </w:t>
      </w:r>
      <w:r w:rsidRPr="00736D5E">
        <w:rPr>
          <w:i/>
        </w:rPr>
        <w:t>Journal of Gerontological Social Work, 46</w:t>
      </w:r>
      <w:r w:rsidRPr="00736D5E">
        <w:t>(2), 69-84. doi:10.1300/J083v46n02_06</w:t>
      </w:r>
    </w:p>
    <w:p w:rsidR="002010E4" w:rsidRPr="00736D5E" w:rsidRDefault="002010E4" w:rsidP="001A7A7A">
      <w:pPr>
        <w:widowControl w:val="0"/>
        <w:spacing w:line="480" w:lineRule="auto"/>
        <w:ind w:left="360" w:hanging="360"/>
      </w:pPr>
      <w:r w:rsidRPr="00736D5E">
        <w:t xml:space="preserve">Flippen, C., &amp; Tienda, M. (2000). Pathways to retirement: Patterns of labor force participation and labor market exit among the pre-retirement population by race, Hispanic origin, and sex. </w:t>
      </w:r>
      <w:r w:rsidRPr="00736D5E">
        <w:rPr>
          <w:i/>
          <w:iCs/>
        </w:rPr>
        <w:t>Journal of Gerontology: Social Sciences, 55B</w:t>
      </w:r>
      <w:r w:rsidRPr="00736D5E">
        <w:t>(1), S14-S27.</w:t>
      </w:r>
    </w:p>
    <w:p w:rsidR="00CC3F89" w:rsidRPr="00736D5E" w:rsidRDefault="00CC3F89" w:rsidP="001A7A7A">
      <w:pPr>
        <w:widowControl w:val="0"/>
        <w:spacing w:line="480" w:lineRule="auto"/>
        <w:ind w:left="342" w:hanging="342"/>
      </w:pPr>
      <w:r w:rsidRPr="00736D5E">
        <w:t xml:space="preserve">Fretz, B. R., Kluge, N. A., Ossana, S. M., Jones, S. M., &amp; Merikangas, M. W. (1989). Intervention targets for reducing preretirement anxiety and depression. </w:t>
      </w:r>
      <w:r w:rsidRPr="00736D5E">
        <w:rPr>
          <w:i/>
        </w:rPr>
        <w:t xml:space="preserve">Journal of Counseling Psychology, 36, </w:t>
      </w:r>
      <w:r w:rsidRPr="00736D5E">
        <w:t>301-307.</w:t>
      </w:r>
    </w:p>
    <w:p w:rsidR="008E14EA" w:rsidRPr="00736D5E" w:rsidRDefault="008E14EA" w:rsidP="001A7A7A">
      <w:pPr>
        <w:widowControl w:val="0"/>
        <w:spacing w:line="480" w:lineRule="auto"/>
        <w:ind w:left="342" w:hanging="342"/>
        <w:rPr>
          <w:i/>
          <w:iCs/>
        </w:rPr>
      </w:pPr>
      <w:r w:rsidRPr="00736D5E">
        <w:rPr>
          <w:iCs/>
        </w:rPr>
        <w:t>Gendell,</w:t>
      </w:r>
      <w:r w:rsidR="00B67D86" w:rsidRPr="00736D5E">
        <w:t xml:space="preserve"> M. (</w:t>
      </w:r>
      <w:r w:rsidRPr="00736D5E">
        <w:rPr>
          <w:iCs/>
        </w:rPr>
        <w:t xml:space="preserve">2001). Retirement age declines again in 1990s. </w:t>
      </w:r>
      <w:r w:rsidRPr="00736D5E">
        <w:rPr>
          <w:i/>
          <w:iCs/>
        </w:rPr>
        <w:t xml:space="preserve">Monthly Labor Review, </w:t>
      </w:r>
      <w:r w:rsidR="00F53F99" w:rsidRPr="00736D5E">
        <w:rPr>
          <w:i/>
          <w:iCs/>
        </w:rPr>
        <w:t>10</w:t>
      </w:r>
      <w:r w:rsidRPr="00736D5E">
        <w:rPr>
          <w:i/>
          <w:iCs/>
        </w:rPr>
        <w:t>,</w:t>
      </w:r>
      <w:r w:rsidR="008F7418" w:rsidRPr="00736D5E">
        <w:rPr>
          <w:i/>
          <w:iCs/>
        </w:rPr>
        <w:t xml:space="preserve"> </w:t>
      </w:r>
      <w:r w:rsidRPr="00736D5E">
        <w:rPr>
          <w:iCs/>
        </w:rPr>
        <w:t>12-21. Retrieved from www.bls.gov/opub/mlr/2001/10/art2full.pdf</w:t>
      </w:r>
    </w:p>
    <w:p w:rsidR="00FA342B" w:rsidRPr="00736D5E" w:rsidRDefault="00FA342B" w:rsidP="00455A5C">
      <w:pPr>
        <w:widowControl w:val="0"/>
        <w:spacing w:line="480" w:lineRule="auto"/>
        <w:ind w:left="342" w:hanging="342"/>
        <w:rPr>
          <w:color w:val="000000"/>
        </w:rPr>
      </w:pPr>
      <w:r w:rsidRPr="00736D5E">
        <w:rPr>
          <w:color w:val="000000"/>
        </w:rPr>
        <w:t xml:space="preserve">Gibson, R. C., &amp; Burns, C. J. (1991). The health, labor force, and retirement experiences of aging minorities. </w:t>
      </w:r>
      <w:r w:rsidRPr="00736D5E">
        <w:rPr>
          <w:i/>
          <w:iCs/>
          <w:color w:val="000000"/>
        </w:rPr>
        <w:t>Generations, 15</w:t>
      </w:r>
      <w:r w:rsidRPr="00736D5E">
        <w:rPr>
          <w:color w:val="000000"/>
        </w:rPr>
        <w:t>(4), 31-35.</w:t>
      </w:r>
    </w:p>
    <w:p w:rsidR="00455A5C" w:rsidRPr="00736D5E" w:rsidRDefault="0067051F" w:rsidP="00736D5E">
      <w:pPr>
        <w:spacing w:line="480" w:lineRule="auto"/>
        <w:ind w:left="360" w:hanging="360"/>
      </w:pPr>
      <w:r w:rsidRPr="00736D5E">
        <w:rPr>
          <w:rStyle w:val="addmd"/>
        </w:rPr>
        <w:t xml:space="preserve">Grusky, D. B., &amp; Ku, M. C. (2008). Gloom, doom, and inequality. </w:t>
      </w:r>
      <w:r w:rsidRPr="00736D5E">
        <w:t xml:space="preserve">In D. B. Grusky (Ed.), </w:t>
      </w:r>
      <w:r w:rsidRPr="00736D5E">
        <w:rPr>
          <w:i/>
        </w:rPr>
        <w:t>Social stratification: Class, race, and gender in sociological perspective</w:t>
      </w:r>
      <w:r w:rsidRPr="00736D5E">
        <w:t xml:space="preserve"> (3</w:t>
      </w:r>
      <w:r w:rsidRPr="00736D5E">
        <w:rPr>
          <w:vertAlign w:val="superscript"/>
        </w:rPr>
        <w:t>rd</w:t>
      </w:r>
      <w:r w:rsidRPr="00736D5E">
        <w:t xml:space="preserve"> ed.; pp. 2-28). Boulder, CO: Westview Press.</w:t>
      </w:r>
    </w:p>
    <w:p w:rsidR="0010648E" w:rsidRPr="00736D5E" w:rsidRDefault="0010648E" w:rsidP="00455A5C">
      <w:pPr>
        <w:widowControl w:val="0"/>
        <w:spacing w:line="480" w:lineRule="auto"/>
        <w:ind w:left="342" w:hanging="342"/>
      </w:pPr>
      <w:r w:rsidRPr="00736D5E">
        <w:rPr>
          <w:lang w:val="es-ES"/>
        </w:rPr>
        <w:t xml:space="preserve">Han, S.-K., &amp; Moen, P. (1999). </w:t>
      </w:r>
      <w:r w:rsidRPr="00736D5E">
        <w:t xml:space="preserve">Clocking out: Temporal patterning of retirement. </w:t>
      </w:r>
      <w:r w:rsidRPr="00736D5E">
        <w:rPr>
          <w:i/>
        </w:rPr>
        <w:t>American Journal of Sociology, 105</w:t>
      </w:r>
      <w:r w:rsidRPr="00736D5E">
        <w:t>, 191-236.</w:t>
      </w:r>
    </w:p>
    <w:p w:rsidR="006F01BF" w:rsidRDefault="006F01BF" w:rsidP="001A7A7A">
      <w:pPr>
        <w:widowControl w:val="0"/>
        <w:spacing w:line="480" w:lineRule="auto"/>
        <w:ind w:left="342" w:hanging="342"/>
        <w:rPr>
          <w:color w:val="000000" w:themeColor="text1"/>
        </w:rPr>
      </w:pPr>
    </w:p>
    <w:p w:rsidR="0017107D" w:rsidRPr="00736D5E" w:rsidRDefault="0017107D" w:rsidP="001A7A7A">
      <w:pPr>
        <w:widowControl w:val="0"/>
        <w:spacing w:line="480" w:lineRule="auto"/>
        <w:ind w:left="342" w:hanging="342"/>
        <w:rPr>
          <w:color w:val="000000" w:themeColor="text1"/>
        </w:rPr>
      </w:pPr>
      <w:bookmarkStart w:id="0" w:name="_GoBack"/>
      <w:bookmarkEnd w:id="0"/>
      <w:r w:rsidRPr="00736D5E">
        <w:rPr>
          <w:color w:val="000000" w:themeColor="text1"/>
        </w:rPr>
        <w:lastRenderedPageBreak/>
        <w:t xml:space="preserve">Ho, J.-H., &amp; Raymo, J. (2009). Expectations and realization of joint retirement among dual-worker couples. </w:t>
      </w:r>
      <w:r w:rsidRPr="00736D5E">
        <w:rPr>
          <w:i/>
          <w:iCs/>
          <w:color w:val="000000" w:themeColor="text1"/>
        </w:rPr>
        <w:t>Research on Aging</w:t>
      </w:r>
      <w:r w:rsidRPr="00736D5E">
        <w:rPr>
          <w:color w:val="000000" w:themeColor="text1"/>
        </w:rPr>
        <w:t xml:space="preserve">, </w:t>
      </w:r>
      <w:r w:rsidRPr="00736D5E">
        <w:rPr>
          <w:i/>
          <w:iCs/>
          <w:color w:val="000000" w:themeColor="text1"/>
        </w:rPr>
        <w:t>31</w:t>
      </w:r>
      <w:r w:rsidRPr="00736D5E">
        <w:rPr>
          <w:color w:val="000000" w:themeColor="text1"/>
        </w:rPr>
        <w:t xml:space="preserve">, 153-179. </w:t>
      </w:r>
      <w:r w:rsidR="00DD774A" w:rsidRPr="00736D5E">
        <w:rPr>
          <w:rStyle w:val="slug-metadata-note3"/>
          <w:color w:val="000000" w:themeColor="text1"/>
          <w:specVanish w:val="0"/>
        </w:rPr>
        <w:t xml:space="preserve">doi: </w:t>
      </w:r>
      <w:r w:rsidR="00DD774A" w:rsidRPr="00736D5E">
        <w:rPr>
          <w:rStyle w:val="slug-doi"/>
          <w:color w:val="000000" w:themeColor="text1"/>
        </w:rPr>
        <w:t>10.1177/0164027508328308</w:t>
      </w:r>
    </w:p>
    <w:p w:rsidR="00FA342B" w:rsidRPr="00736D5E" w:rsidRDefault="00151D74" w:rsidP="001A7A7A">
      <w:pPr>
        <w:widowControl w:val="0"/>
        <w:spacing w:line="480" w:lineRule="auto"/>
        <w:ind w:left="342" w:hanging="342"/>
      </w:pPr>
      <w:r w:rsidRPr="00736D5E">
        <w:t xml:space="preserve">Institute for Social Research. </w:t>
      </w:r>
      <w:r w:rsidR="009E3158" w:rsidRPr="00736D5E">
        <w:t>(</w:t>
      </w:r>
      <w:r w:rsidRPr="00736D5E">
        <w:t>2002</w:t>
      </w:r>
      <w:r w:rsidR="009E3158" w:rsidRPr="00736D5E">
        <w:t>)</w:t>
      </w:r>
      <w:r w:rsidRPr="00736D5E">
        <w:t xml:space="preserve">. </w:t>
      </w:r>
      <w:r w:rsidRPr="00736D5E">
        <w:rPr>
          <w:i/>
        </w:rPr>
        <w:t>Overview of the Health and Retirement Study</w:t>
      </w:r>
      <w:r w:rsidRPr="00736D5E">
        <w:t xml:space="preserve">. Retrieved from </w:t>
      </w:r>
      <w:r w:rsidR="00FA342B" w:rsidRPr="00736D5E">
        <w:t>http://hrsonline.isr.umich.edu/intro/sho_uinfo.php?hfyle=overview_history&amp;xtyp=2</w:t>
      </w:r>
    </w:p>
    <w:p w:rsidR="00A7731E" w:rsidRPr="00736D5E" w:rsidRDefault="00A7731E" w:rsidP="001A7A7A">
      <w:pPr>
        <w:widowControl w:val="0"/>
        <w:spacing w:line="480" w:lineRule="auto"/>
        <w:ind w:left="342" w:hanging="342"/>
      </w:pPr>
      <w:r w:rsidRPr="00736D5E">
        <w:rPr>
          <w:rStyle w:val="medium-font1"/>
          <w:color w:val="000000"/>
          <w:sz w:val="24"/>
          <w:szCs w:val="24"/>
        </w:rPr>
        <w:t xml:space="preserve">Jacobs-Lawson, J. M., Hershey, D. A., </w:t>
      </w:r>
      <w:r w:rsidR="00A71F10" w:rsidRPr="00736D5E">
        <w:rPr>
          <w:rStyle w:val="medium-font1"/>
          <w:color w:val="000000"/>
          <w:sz w:val="24"/>
          <w:szCs w:val="24"/>
        </w:rPr>
        <w:t xml:space="preserve">&amp; </w:t>
      </w:r>
      <w:r w:rsidRPr="00736D5E">
        <w:rPr>
          <w:rStyle w:val="medium-font1"/>
          <w:color w:val="000000"/>
          <w:sz w:val="24"/>
          <w:szCs w:val="24"/>
        </w:rPr>
        <w:t xml:space="preserve">Neukam, K. A. (2004). </w:t>
      </w:r>
      <w:r w:rsidR="005E7064" w:rsidRPr="00736D5E">
        <w:rPr>
          <w:rStyle w:val="medium-font1"/>
          <w:color w:val="000000"/>
          <w:sz w:val="24"/>
          <w:szCs w:val="24"/>
        </w:rPr>
        <w:t xml:space="preserve">Gender differences in factors that influence time spent planning for retirement. </w:t>
      </w:r>
      <w:r w:rsidRPr="00736D5E">
        <w:rPr>
          <w:rStyle w:val="medium-font1"/>
          <w:i/>
          <w:color w:val="000000"/>
          <w:sz w:val="24"/>
          <w:szCs w:val="24"/>
        </w:rPr>
        <w:t>Journal of Women &amp; Agin</w:t>
      </w:r>
      <w:r w:rsidR="005E7064" w:rsidRPr="00736D5E">
        <w:rPr>
          <w:rStyle w:val="medium-font1"/>
          <w:i/>
          <w:color w:val="000000"/>
          <w:sz w:val="24"/>
          <w:szCs w:val="24"/>
        </w:rPr>
        <w:t xml:space="preserve">g, </w:t>
      </w:r>
      <w:r w:rsidRPr="00736D5E">
        <w:rPr>
          <w:rStyle w:val="medium-font1"/>
          <w:i/>
          <w:color w:val="000000"/>
          <w:sz w:val="24"/>
          <w:szCs w:val="24"/>
        </w:rPr>
        <w:t>16</w:t>
      </w:r>
      <w:r w:rsidR="005E7064" w:rsidRPr="00736D5E">
        <w:rPr>
          <w:rStyle w:val="medium-font1"/>
          <w:i/>
          <w:color w:val="000000"/>
          <w:sz w:val="24"/>
          <w:szCs w:val="24"/>
        </w:rPr>
        <w:t xml:space="preserve">, </w:t>
      </w:r>
      <w:r w:rsidRPr="00736D5E">
        <w:rPr>
          <w:rStyle w:val="medium-font1"/>
          <w:color w:val="000000"/>
          <w:sz w:val="24"/>
          <w:szCs w:val="24"/>
        </w:rPr>
        <w:t>55-69</w:t>
      </w:r>
      <w:r w:rsidR="005E7064" w:rsidRPr="00736D5E">
        <w:rPr>
          <w:rStyle w:val="medium-font1"/>
          <w:color w:val="000000"/>
          <w:sz w:val="24"/>
          <w:szCs w:val="24"/>
        </w:rPr>
        <w:t>.</w:t>
      </w:r>
    </w:p>
    <w:p w:rsidR="00455A5C" w:rsidRPr="00736D5E" w:rsidRDefault="00455A5C" w:rsidP="001A7A7A">
      <w:pPr>
        <w:pStyle w:val="Referencepara"/>
        <w:widowControl w:val="0"/>
        <w:spacing w:before="0" w:line="480" w:lineRule="auto"/>
        <w:ind w:left="342" w:hanging="342"/>
        <w:rPr>
          <w:color w:val="000000"/>
          <w:szCs w:val="24"/>
        </w:rPr>
      </w:pPr>
      <w:r w:rsidRPr="00736D5E">
        <w:rPr>
          <w:color w:val="000000"/>
          <w:szCs w:val="24"/>
        </w:rPr>
        <w:t xml:space="preserve">Kail, B. L., Quadagno, J., &amp; Keene, J. R. (2009). The political economy of aging. In V. L. Bengston, D. Gans, N. M. Putney, &amp; M. Silverstein (Eds.), </w:t>
      </w:r>
      <w:r w:rsidRPr="00736D5E">
        <w:rPr>
          <w:i/>
          <w:color w:val="000000"/>
          <w:szCs w:val="24"/>
        </w:rPr>
        <w:t xml:space="preserve">Handbook of theories of aging </w:t>
      </w:r>
      <w:r w:rsidRPr="00736D5E">
        <w:rPr>
          <w:color w:val="000000"/>
          <w:szCs w:val="24"/>
        </w:rPr>
        <w:t>(2</w:t>
      </w:r>
      <w:r w:rsidRPr="00736D5E">
        <w:rPr>
          <w:color w:val="000000"/>
          <w:szCs w:val="24"/>
          <w:vertAlign w:val="superscript"/>
        </w:rPr>
        <w:t>nd</w:t>
      </w:r>
      <w:r w:rsidRPr="00736D5E">
        <w:rPr>
          <w:color w:val="000000"/>
          <w:szCs w:val="24"/>
        </w:rPr>
        <w:t xml:space="preserve"> ed., pp. 555-571). New York, NY: Springer Publishing.</w:t>
      </w:r>
    </w:p>
    <w:p w:rsidR="00036812" w:rsidRPr="00736D5E" w:rsidRDefault="00036812" w:rsidP="001A7A7A">
      <w:pPr>
        <w:pStyle w:val="Referencepara"/>
        <w:widowControl w:val="0"/>
        <w:spacing w:before="0" w:line="480" w:lineRule="auto"/>
        <w:ind w:left="342" w:hanging="342"/>
        <w:rPr>
          <w:color w:val="000000"/>
          <w:szCs w:val="24"/>
        </w:rPr>
      </w:pPr>
      <w:r w:rsidRPr="00736D5E">
        <w:rPr>
          <w:color w:val="000000"/>
          <w:szCs w:val="24"/>
        </w:rPr>
        <w:t>Kamouri, A. L., &amp; Cavanaugh, J. C. (1986)</w:t>
      </w:r>
      <w:r w:rsidR="00056280" w:rsidRPr="00736D5E">
        <w:rPr>
          <w:color w:val="000000"/>
          <w:szCs w:val="24"/>
        </w:rPr>
        <w:t>.</w:t>
      </w:r>
      <w:r w:rsidRPr="00736D5E">
        <w:rPr>
          <w:color w:val="000000"/>
          <w:szCs w:val="24"/>
        </w:rPr>
        <w:t xml:space="preserve"> The impact of preretirement programmes on workers’ preretirement socialization. </w:t>
      </w:r>
      <w:r w:rsidRPr="00736D5E">
        <w:rPr>
          <w:i/>
          <w:color w:val="000000"/>
          <w:szCs w:val="24"/>
        </w:rPr>
        <w:t>Journal of Occupational Behaviour, 7,</w:t>
      </w:r>
      <w:r w:rsidRPr="00736D5E">
        <w:rPr>
          <w:color w:val="000000"/>
          <w:szCs w:val="24"/>
        </w:rPr>
        <w:t xml:space="preserve"> 245-256.</w:t>
      </w:r>
      <w:r w:rsidRPr="00736D5E">
        <w:rPr>
          <w:i/>
          <w:color w:val="000000"/>
          <w:szCs w:val="24"/>
        </w:rPr>
        <w:t xml:space="preserve"> </w:t>
      </w:r>
    </w:p>
    <w:p w:rsidR="00D81160" w:rsidRPr="00736D5E" w:rsidRDefault="00D81160" w:rsidP="001A7A7A">
      <w:pPr>
        <w:pStyle w:val="Referencepara"/>
        <w:widowControl w:val="0"/>
        <w:spacing w:before="0" w:line="480" w:lineRule="auto"/>
        <w:ind w:left="342" w:hanging="342"/>
        <w:rPr>
          <w:bCs/>
          <w:color w:val="000000"/>
          <w:szCs w:val="24"/>
        </w:rPr>
      </w:pPr>
      <w:r w:rsidRPr="00736D5E">
        <w:rPr>
          <w:bCs/>
          <w:color w:val="000000"/>
          <w:szCs w:val="24"/>
        </w:rPr>
        <w:t xml:space="preserve">Kenny, </w:t>
      </w:r>
      <w:r w:rsidR="00D45E78" w:rsidRPr="00736D5E">
        <w:rPr>
          <w:bCs/>
          <w:color w:val="000000"/>
          <w:szCs w:val="24"/>
        </w:rPr>
        <w:t xml:space="preserve">D. A., </w:t>
      </w:r>
      <w:r w:rsidRPr="00736D5E">
        <w:rPr>
          <w:bCs/>
          <w:color w:val="000000"/>
          <w:szCs w:val="24"/>
        </w:rPr>
        <w:t xml:space="preserve">Kashy, </w:t>
      </w:r>
      <w:r w:rsidR="00D45E78" w:rsidRPr="00736D5E">
        <w:rPr>
          <w:bCs/>
          <w:color w:val="000000"/>
          <w:szCs w:val="24"/>
        </w:rPr>
        <w:t xml:space="preserve">D. A., </w:t>
      </w:r>
      <w:r w:rsidRPr="00736D5E">
        <w:rPr>
          <w:bCs/>
          <w:color w:val="000000"/>
          <w:szCs w:val="24"/>
        </w:rPr>
        <w:t>&amp; Cook</w:t>
      </w:r>
      <w:r w:rsidR="00D45E78" w:rsidRPr="00736D5E">
        <w:rPr>
          <w:bCs/>
          <w:color w:val="000000"/>
          <w:szCs w:val="24"/>
        </w:rPr>
        <w:t>, W. L</w:t>
      </w:r>
      <w:r w:rsidRPr="00736D5E">
        <w:rPr>
          <w:bCs/>
          <w:color w:val="000000"/>
          <w:szCs w:val="24"/>
        </w:rPr>
        <w:t>. (2006). </w:t>
      </w:r>
      <w:r w:rsidRPr="00736D5E">
        <w:rPr>
          <w:bCs/>
          <w:i/>
          <w:iCs/>
          <w:color w:val="000000"/>
          <w:szCs w:val="24"/>
        </w:rPr>
        <w:t xml:space="preserve">Dyadic </w:t>
      </w:r>
      <w:r w:rsidR="00A71F10" w:rsidRPr="00736D5E">
        <w:rPr>
          <w:bCs/>
          <w:i/>
          <w:iCs/>
          <w:color w:val="000000"/>
          <w:szCs w:val="24"/>
        </w:rPr>
        <w:t>data analysis</w:t>
      </w:r>
      <w:r w:rsidRPr="00736D5E">
        <w:rPr>
          <w:bCs/>
          <w:color w:val="000000"/>
          <w:szCs w:val="24"/>
        </w:rPr>
        <w:t>. New York</w:t>
      </w:r>
      <w:r w:rsidR="007802CE" w:rsidRPr="00736D5E">
        <w:rPr>
          <w:bCs/>
          <w:color w:val="000000"/>
          <w:szCs w:val="24"/>
        </w:rPr>
        <w:t>, NY</w:t>
      </w:r>
      <w:r w:rsidRPr="00736D5E">
        <w:rPr>
          <w:bCs/>
          <w:color w:val="000000"/>
          <w:szCs w:val="24"/>
        </w:rPr>
        <w:t>: Guilford.</w:t>
      </w:r>
    </w:p>
    <w:p w:rsidR="00BA4452" w:rsidRPr="00736D5E" w:rsidRDefault="00BA4452" w:rsidP="001A7A7A">
      <w:pPr>
        <w:pStyle w:val="Referencepara"/>
        <w:widowControl w:val="0"/>
        <w:spacing w:before="0" w:line="480" w:lineRule="auto"/>
        <w:ind w:left="342" w:hanging="342"/>
        <w:rPr>
          <w:color w:val="000000"/>
          <w:szCs w:val="24"/>
        </w:rPr>
      </w:pPr>
      <w:r w:rsidRPr="00736D5E">
        <w:rPr>
          <w:bCs/>
          <w:color w:val="000000"/>
          <w:szCs w:val="24"/>
        </w:rPr>
        <w:t>Kim</w:t>
      </w:r>
      <w:r w:rsidR="000176E2" w:rsidRPr="00736D5E">
        <w:rPr>
          <w:bCs/>
          <w:color w:val="000000"/>
          <w:szCs w:val="24"/>
        </w:rPr>
        <w:t>, J. E.,</w:t>
      </w:r>
      <w:r w:rsidRPr="00736D5E">
        <w:rPr>
          <w:bCs/>
          <w:color w:val="000000"/>
          <w:szCs w:val="24"/>
        </w:rPr>
        <w:t xml:space="preserve"> &amp; Moen</w:t>
      </w:r>
      <w:r w:rsidR="000176E2" w:rsidRPr="00736D5E">
        <w:rPr>
          <w:bCs/>
          <w:color w:val="000000"/>
          <w:szCs w:val="24"/>
        </w:rPr>
        <w:t>, P.</w:t>
      </w:r>
      <w:r w:rsidRPr="00736D5E">
        <w:rPr>
          <w:bCs/>
          <w:color w:val="000000"/>
          <w:szCs w:val="24"/>
        </w:rPr>
        <w:t xml:space="preserve"> (2004)</w:t>
      </w:r>
      <w:r w:rsidR="000176E2" w:rsidRPr="00736D5E">
        <w:rPr>
          <w:bCs/>
          <w:color w:val="000000"/>
          <w:szCs w:val="24"/>
        </w:rPr>
        <w:t xml:space="preserve">. Moving into retirement: Preparation and transitions in late midlife. In M. E. Lachman (Ed.), </w:t>
      </w:r>
      <w:r w:rsidR="000176E2" w:rsidRPr="00736D5E">
        <w:rPr>
          <w:bCs/>
          <w:i/>
          <w:color w:val="000000"/>
          <w:szCs w:val="24"/>
        </w:rPr>
        <w:t>Handbook of midlife development</w:t>
      </w:r>
      <w:r w:rsidR="000176E2" w:rsidRPr="00736D5E">
        <w:rPr>
          <w:bCs/>
          <w:color w:val="000000"/>
          <w:szCs w:val="24"/>
        </w:rPr>
        <w:t xml:space="preserve"> (</w:t>
      </w:r>
      <w:r w:rsidRPr="00736D5E">
        <w:rPr>
          <w:bCs/>
          <w:color w:val="000000"/>
          <w:szCs w:val="24"/>
        </w:rPr>
        <w:t>p</w:t>
      </w:r>
      <w:r w:rsidR="000176E2" w:rsidRPr="00736D5E">
        <w:rPr>
          <w:bCs/>
          <w:color w:val="000000"/>
          <w:szCs w:val="24"/>
        </w:rPr>
        <w:t>p</w:t>
      </w:r>
      <w:r w:rsidRPr="00736D5E">
        <w:rPr>
          <w:bCs/>
          <w:color w:val="000000"/>
          <w:szCs w:val="24"/>
        </w:rPr>
        <w:t>. 4</w:t>
      </w:r>
      <w:r w:rsidR="000176E2" w:rsidRPr="00736D5E">
        <w:rPr>
          <w:bCs/>
          <w:color w:val="000000"/>
          <w:szCs w:val="24"/>
        </w:rPr>
        <w:t>87-527). New York</w:t>
      </w:r>
      <w:r w:rsidR="007802CE" w:rsidRPr="00736D5E">
        <w:rPr>
          <w:bCs/>
          <w:color w:val="000000"/>
          <w:szCs w:val="24"/>
        </w:rPr>
        <w:t>, NY</w:t>
      </w:r>
      <w:r w:rsidR="000176E2" w:rsidRPr="00736D5E">
        <w:rPr>
          <w:bCs/>
          <w:color w:val="000000"/>
          <w:szCs w:val="24"/>
        </w:rPr>
        <w:t>: John Wiley &amp; Sons.</w:t>
      </w:r>
    </w:p>
    <w:p w:rsidR="004D64F1" w:rsidRPr="00736D5E" w:rsidRDefault="004D64F1" w:rsidP="001A7A7A">
      <w:pPr>
        <w:pStyle w:val="Referencepara"/>
        <w:widowControl w:val="0"/>
        <w:spacing w:before="0" w:line="480" w:lineRule="auto"/>
        <w:ind w:left="342" w:hanging="342"/>
        <w:rPr>
          <w:szCs w:val="24"/>
        </w:rPr>
      </w:pPr>
      <w:r w:rsidRPr="00736D5E">
        <w:rPr>
          <w:color w:val="000000"/>
          <w:szCs w:val="24"/>
        </w:rPr>
        <w:t xml:space="preserve">Kim, </w:t>
      </w:r>
      <w:r w:rsidR="009E3158" w:rsidRPr="00736D5E">
        <w:rPr>
          <w:color w:val="000000"/>
          <w:szCs w:val="24"/>
        </w:rPr>
        <w:t xml:space="preserve">J. </w:t>
      </w:r>
      <w:r w:rsidRPr="00736D5E">
        <w:rPr>
          <w:color w:val="000000"/>
          <w:szCs w:val="24"/>
        </w:rPr>
        <w:t>E.</w:t>
      </w:r>
      <w:r w:rsidR="009E3158" w:rsidRPr="00736D5E">
        <w:rPr>
          <w:color w:val="000000"/>
          <w:szCs w:val="24"/>
        </w:rPr>
        <w:t xml:space="preserve">, &amp; </w:t>
      </w:r>
      <w:r w:rsidRPr="00736D5E">
        <w:rPr>
          <w:color w:val="000000"/>
          <w:szCs w:val="24"/>
        </w:rPr>
        <w:t>Moen</w:t>
      </w:r>
      <w:r w:rsidR="009E3158" w:rsidRPr="00736D5E">
        <w:rPr>
          <w:color w:val="000000"/>
          <w:szCs w:val="24"/>
        </w:rPr>
        <w:t>, P</w:t>
      </w:r>
      <w:r w:rsidR="00CD40DC" w:rsidRPr="00736D5E">
        <w:rPr>
          <w:color w:val="000000"/>
          <w:szCs w:val="24"/>
        </w:rPr>
        <w:t>.</w:t>
      </w:r>
      <w:r w:rsidRPr="00736D5E">
        <w:rPr>
          <w:color w:val="000000"/>
          <w:szCs w:val="24"/>
        </w:rPr>
        <w:t xml:space="preserve"> </w:t>
      </w:r>
      <w:r w:rsidR="009E3158" w:rsidRPr="00736D5E">
        <w:rPr>
          <w:color w:val="000000"/>
          <w:szCs w:val="24"/>
        </w:rPr>
        <w:t>(</w:t>
      </w:r>
      <w:r w:rsidRPr="00736D5E">
        <w:rPr>
          <w:color w:val="000000"/>
          <w:szCs w:val="24"/>
        </w:rPr>
        <w:t>2002</w:t>
      </w:r>
      <w:r w:rsidR="009E3158" w:rsidRPr="00736D5E">
        <w:rPr>
          <w:color w:val="000000"/>
          <w:szCs w:val="24"/>
        </w:rPr>
        <w:t>)</w:t>
      </w:r>
      <w:r w:rsidRPr="00736D5E">
        <w:rPr>
          <w:color w:val="000000"/>
          <w:szCs w:val="24"/>
        </w:rPr>
        <w:t>. Retirement transitions, gender, and psychological well-being: A life-course, ecological m</w:t>
      </w:r>
      <w:r w:rsidRPr="00736D5E">
        <w:rPr>
          <w:szCs w:val="24"/>
        </w:rPr>
        <w:t xml:space="preserve">odel. </w:t>
      </w:r>
      <w:r w:rsidRPr="00736D5E">
        <w:rPr>
          <w:i/>
          <w:szCs w:val="24"/>
        </w:rPr>
        <w:t>Journals of Gerontology</w:t>
      </w:r>
      <w:r w:rsidR="009E3158" w:rsidRPr="00736D5E">
        <w:rPr>
          <w:i/>
          <w:szCs w:val="24"/>
        </w:rPr>
        <w:t xml:space="preserve">, </w:t>
      </w:r>
      <w:r w:rsidRPr="00736D5E">
        <w:rPr>
          <w:i/>
          <w:szCs w:val="24"/>
        </w:rPr>
        <w:t>52B</w:t>
      </w:r>
      <w:r w:rsidR="009E3158" w:rsidRPr="00736D5E">
        <w:rPr>
          <w:szCs w:val="24"/>
        </w:rPr>
        <w:t xml:space="preserve">, </w:t>
      </w:r>
      <w:r w:rsidRPr="00736D5E">
        <w:rPr>
          <w:szCs w:val="24"/>
        </w:rPr>
        <w:t>P212-P222.</w:t>
      </w:r>
    </w:p>
    <w:p w:rsidR="00BE3C6A" w:rsidRPr="00736D5E" w:rsidRDefault="00BE3C6A" w:rsidP="001A7A7A">
      <w:pPr>
        <w:widowControl w:val="0"/>
        <w:spacing w:line="480" w:lineRule="auto"/>
        <w:ind w:left="342" w:hanging="342"/>
        <w:rPr>
          <w:iCs/>
        </w:rPr>
      </w:pPr>
      <w:r w:rsidRPr="00736D5E">
        <w:rPr>
          <w:iCs/>
        </w:rPr>
        <w:t xml:space="preserve">Kosloski, </w:t>
      </w:r>
      <w:r w:rsidR="009E3158" w:rsidRPr="00736D5E">
        <w:rPr>
          <w:iCs/>
        </w:rPr>
        <w:t>K.</w:t>
      </w:r>
      <w:r w:rsidRPr="00736D5E">
        <w:rPr>
          <w:iCs/>
        </w:rPr>
        <w:t xml:space="preserve">, Ekerdt, </w:t>
      </w:r>
      <w:r w:rsidR="009E3158" w:rsidRPr="00736D5E">
        <w:rPr>
          <w:iCs/>
        </w:rPr>
        <w:t xml:space="preserve">D. J., &amp; </w:t>
      </w:r>
      <w:r w:rsidRPr="00736D5E">
        <w:rPr>
          <w:iCs/>
        </w:rPr>
        <w:t>DeViney</w:t>
      </w:r>
      <w:r w:rsidR="009E3158" w:rsidRPr="00736D5E">
        <w:rPr>
          <w:iCs/>
        </w:rPr>
        <w:t>, S</w:t>
      </w:r>
      <w:r w:rsidRPr="00736D5E">
        <w:rPr>
          <w:iCs/>
        </w:rPr>
        <w:t xml:space="preserve">. </w:t>
      </w:r>
      <w:r w:rsidR="009E3158" w:rsidRPr="00736D5E">
        <w:rPr>
          <w:iCs/>
        </w:rPr>
        <w:t>(</w:t>
      </w:r>
      <w:r w:rsidRPr="00736D5E">
        <w:rPr>
          <w:iCs/>
        </w:rPr>
        <w:t>2001</w:t>
      </w:r>
      <w:r w:rsidR="009E3158" w:rsidRPr="00736D5E">
        <w:rPr>
          <w:iCs/>
        </w:rPr>
        <w:t>)</w:t>
      </w:r>
      <w:r w:rsidRPr="00736D5E">
        <w:rPr>
          <w:iCs/>
        </w:rPr>
        <w:t xml:space="preserve">. The role of job-related rewards in retirement planning. </w:t>
      </w:r>
      <w:r w:rsidRPr="00736D5E">
        <w:rPr>
          <w:i/>
          <w:iCs/>
        </w:rPr>
        <w:t>Journal of Gerontology: Psychological Sciences</w:t>
      </w:r>
      <w:r w:rsidR="009E3158" w:rsidRPr="00736D5E">
        <w:rPr>
          <w:i/>
          <w:iCs/>
        </w:rPr>
        <w:t xml:space="preserve">, </w:t>
      </w:r>
      <w:r w:rsidRPr="00736D5E">
        <w:rPr>
          <w:i/>
          <w:iCs/>
        </w:rPr>
        <w:t>56B</w:t>
      </w:r>
      <w:r w:rsidR="009E3158" w:rsidRPr="00736D5E">
        <w:rPr>
          <w:iCs/>
        </w:rPr>
        <w:t>,</w:t>
      </w:r>
      <w:r w:rsidR="0031294E" w:rsidRPr="00736D5E">
        <w:rPr>
          <w:iCs/>
        </w:rPr>
        <w:t xml:space="preserve"> </w:t>
      </w:r>
      <w:r w:rsidRPr="00736D5E">
        <w:rPr>
          <w:iCs/>
        </w:rPr>
        <w:t>P160-P169.</w:t>
      </w:r>
    </w:p>
    <w:p w:rsidR="00E97358" w:rsidRPr="00736D5E" w:rsidRDefault="00674F3E" w:rsidP="001A7A7A">
      <w:pPr>
        <w:widowControl w:val="0"/>
        <w:spacing w:line="480" w:lineRule="auto"/>
        <w:ind w:left="342" w:hanging="342"/>
      </w:pPr>
      <w:r w:rsidRPr="00736D5E">
        <w:t xml:space="preserve">Lyons, K. S., &amp; Sayer, A. G. (2005). Longitudinal dyad models in family research. </w:t>
      </w:r>
      <w:r w:rsidRPr="00736D5E">
        <w:rPr>
          <w:i/>
          <w:iCs/>
        </w:rPr>
        <w:t xml:space="preserve">Journal of Marriage and Family, 67, </w:t>
      </w:r>
      <w:r w:rsidRPr="00736D5E">
        <w:t>1048-1060.</w:t>
      </w:r>
    </w:p>
    <w:p w:rsidR="006F01BF" w:rsidRDefault="006F01BF" w:rsidP="001A7A7A">
      <w:pPr>
        <w:widowControl w:val="0"/>
        <w:spacing w:line="480" w:lineRule="auto"/>
        <w:ind w:left="342" w:hanging="342"/>
      </w:pPr>
    </w:p>
    <w:p w:rsidR="005953B2" w:rsidRPr="00736D5E" w:rsidRDefault="005953B2" w:rsidP="001A7A7A">
      <w:pPr>
        <w:widowControl w:val="0"/>
        <w:spacing w:line="480" w:lineRule="auto"/>
        <w:ind w:left="342" w:hanging="342"/>
      </w:pPr>
      <w:r w:rsidRPr="00736D5E">
        <w:lastRenderedPageBreak/>
        <w:t xml:space="preserve">McPherson, B., &amp; Guppy, N. (1979). Pre-retirement life-style and the degree of planning for retirement. </w:t>
      </w:r>
      <w:r w:rsidRPr="00736D5E">
        <w:rPr>
          <w:i/>
        </w:rPr>
        <w:t>Journal of Gerontology, 34</w:t>
      </w:r>
      <w:r w:rsidRPr="00736D5E">
        <w:t>(2), 254-263.</w:t>
      </w:r>
    </w:p>
    <w:p w:rsidR="00531E09" w:rsidRPr="00736D5E" w:rsidRDefault="00531E09" w:rsidP="001A7A7A">
      <w:pPr>
        <w:widowControl w:val="0"/>
        <w:spacing w:line="480" w:lineRule="auto"/>
        <w:ind w:left="342" w:hanging="342"/>
        <w:rPr>
          <w:iCs/>
        </w:rPr>
      </w:pPr>
      <w:r w:rsidRPr="00736D5E">
        <w:rPr>
          <w:iCs/>
        </w:rPr>
        <w:t xml:space="preserve">Mein, </w:t>
      </w:r>
      <w:r w:rsidR="009E3158" w:rsidRPr="00736D5E">
        <w:rPr>
          <w:iCs/>
        </w:rPr>
        <w:t>G.</w:t>
      </w:r>
      <w:r w:rsidRPr="00736D5E">
        <w:rPr>
          <w:iCs/>
        </w:rPr>
        <w:t xml:space="preserve">, Higgs, </w:t>
      </w:r>
      <w:r w:rsidR="009E3158" w:rsidRPr="00736D5E">
        <w:rPr>
          <w:iCs/>
        </w:rPr>
        <w:t xml:space="preserve">P., </w:t>
      </w:r>
      <w:r w:rsidRPr="00736D5E">
        <w:rPr>
          <w:iCs/>
        </w:rPr>
        <w:t xml:space="preserve">Ferrie, </w:t>
      </w:r>
      <w:r w:rsidR="009E3158" w:rsidRPr="00736D5E">
        <w:rPr>
          <w:iCs/>
        </w:rPr>
        <w:t xml:space="preserve">J., &amp; </w:t>
      </w:r>
      <w:r w:rsidRPr="00736D5E">
        <w:rPr>
          <w:iCs/>
        </w:rPr>
        <w:t>Stansfield</w:t>
      </w:r>
      <w:r w:rsidR="009E3158" w:rsidRPr="00736D5E">
        <w:rPr>
          <w:iCs/>
        </w:rPr>
        <w:t>, S</w:t>
      </w:r>
      <w:r w:rsidR="00D02886" w:rsidRPr="00736D5E">
        <w:rPr>
          <w:iCs/>
        </w:rPr>
        <w:t xml:space="preserve">. </w:t>
      </w:r>
      <w:r w:rsidR="009E3158" w:rsidRPr="00736D5E">
        <w:rPr>
          <w:iCs/>
        </w:rPr>
        <w:t>(</w:t>
      </w:r>
      <w:r w:rsidRPr="00736D5E">
        <w:rPr>
          <w:iCs/>
        </w:rPr>
        <w:t>1998</w:t>
      </w:r>
      <w:r w:rsidR="009E3158" w:rsidRPr="00736D5E">
        <w:rPr>
          <w:iCs/>
        </w:rPr>
        <w:t>)</w:t>
      </w:r>
      <w:r w:rsidRPr="00736D5E">
        <w:rPr>
          <w:iCs/>
        </w:rPr>
        <w:t xml:space="preserve">. Paradigms of retirement: The importance of health and ageing in the Whitehall II study. </w:t>
      </w:r>
      <w:r w:rsidRPr="00736D5E">
        <w:rPr>
          <w:i/>
          <w:iCs/>
        </w:rPr>
        <w:t>Social Science and Medicine</w:t>
      </w:r>
      <w:r w:rsidR="009E3158" w:rsidRPr="00736D5E">
        <w:rPr>
          <w:i/>
          <w:iCs/>
        </w:rPr>
        <w:t>,</w:t>
      </w:r>
      <w:r w:rsidRPr="00736D5E">
        <w:rPr>
          <w:iCs/>
        </w:rPr>
        <w:t xml:space="preserve"> </w:t>
      </w:r>
      <w:r w:rsidRPr="00736D5E">
        <w:rPr>
          <w:i/>
          <w:iCs/>
        </w:rPr>
        <w:t>47</w:t>
      </w:r>
      <w:r w:rsidR="009E3158" w:rsidRPr="00736D5E">
        <w:rPr>
          <w:iCs/>
        </w:rPr>
        <w:t xml:space="preserve">, </w:t>
      </w:r>
      <w:r w:rsidRPr="00736D5E">
        <w:rPr>
          <w:iCs/>
        </w:rPr>
        <w:t>535-545.</w:t>
      </w:r>
    </w:p>
    <w:p w:rsidR="00BA4452" w:rsidRPr="00736D5E" w:rsidRDefault="00C724BF" w:rsidP="001A7A7A">
      <w:pPr>
        <w:widowControl w:val="0"/>
        <w:autoSpaceDE w:val="0"/>
        <w:autoSpaceDN w:val="0"/>
        <w:adjustRightInd w:val="0"/>
        <w:spacing w:line="480" w:lineRule="auto"/>
        <w:ind w:left="342" w:hanging="342"/>
        <w:rPr>
          <w:iCs/>
        </w:rPr>
      </w:pPr>
      <w:r w:rsidRPr="00736D5E">
        <w:t>Merton, R.</w:t>
      </w:r>
      <w:r w:rsidR="00E97358" w:rsidRPr="00736D5E">
        <w:t xml:space="preserve"> </w:t>
      </w:r>
      <w:r w:rsidRPr="00736D5E">
        <w:t xml:space="preserve">K. (1966). Anticipatory socialization. In B. Biddle &amp; E. Thomas (Eds.), </w:t>
      </w:r>
      <w:r w:rsidRPr="00736D5E">
        <w:rPr>
          <w:i/>
          <w:iCs/>
        </w:rPr>
        <w:t xml:space="preserve">Role </w:t>
      </w:r>
      <w:r w:rsidR="00E97358" w:rsidRPr="00736D5E">
        <w:rPr>
          <w:i/>
          <w:iCs/>
        </w:rPr>
        <w:t>theory</w:t>
      </w:r>
      <w:r w:rsidRPr="00736D5E">
        <w:rPr>
          <w:i/>
          <w:iCs/>
        </w:rPr>
        <w:t xml:space="preserve">: Concepts and </w:t>
      </w:r>
      <w:r w:rsidR="00E97358" w:rsidRPr="00736D5E">
        <w:rPr>
          <w:i/>
          <w:iCs/>
        </w:rPr>
        <w:t>research</w:t>
      </w:r>
      <w:r w:rsidR="00DA7EEC" w:rsidRPr="00736D5E">
        <w:rPr>
          <w:iCs/>
        </w:rPr>
        <w:t xml:space="preserve"> (pp. 347-350)</w:t>
      </w:r>
      <w:r w:rsidRPr="00736D5E">
        <w:rPr>
          <w:i/>
          <w:iCs/>
        </w:rPr>
        <w:t xml:space="preserve">. </w:t>
      </w:r>
      <w:r w:rsidRPr="00736D5E">
        <w:t>New York</w:t>
      </w:r>
      <w:r w:rsidR="007802CE" w:rsidRPr="00736D5E">
        <w:t>, NY</w:t>
      </w:r>
      <w:r w:rsidRPr="00736D5E">
        <w:t>: John Wiley.</w:t>
      </w:r>
    </w:p>
    <w:p w:rsidR="00C8385A" w:rsidRPr="00736D5E" w:rsidRDefault="00C8385A" w:rsidP="001A7A7A">
      <w:pPr>
        <w:widowControl w:val="0"/>
        <w:spacing w:line="480" w:lineRule="auto"/>
        <w:ind w:left="342" w:hanging="342"/>
      </w:pPr>
      <w:r w:rsidRPr="00736D5E">
        <w:t xml:space="preserve">Mock, S., &amp; Cornelius, S. (2007). Profiles of interdependence: The retirement planning of married, cohabiting, and lesbian couples. </w:t>
      </w:r>
      <w:r w:rsidRPr="00736D5E">
        <w:rPr>
          <w:i/>
          <w:iCs/>
        </w:rPr>
        <w:t>Sex Roles</w:t>
      </w:r>
      <w:r w:rsidRPr="00736D5E">
        <w:t xml:space="preserve">, </w:t>
      </w:r>
      <w:r w:rsidRPr="00736D5E">
        <w:rPr>
          <w:i/>
          <w:iCs/>
        </w:rPr>
        <w:t>56</w:t>
      </w:r>
      <w:r w:rsidRPr="00736D5E">
        <w:t xml:space="preserve">, 793-800. </w:t>
      </w:r>
    </w:p>
    <w:p w:rsidR="00991B1E" w:rsidRPr="00736D5E" w:rsidRDefault="00991B1E" w:rsidP="001A7A7A">
      <w:pPr>
        <w:widowControl w:val="0"/>
        <w:spacing w:line="480" w:lineRule="auto"/>
        <w:ind w:left="342" w:hanging="342"/>
        <w:rPr>
          <w:iCs/>
        </w:rPr>
      </w:pPr>
      <w:r w:rsidRPr="00736D5E">
        <w:t>Moen, P., &amp; Altobelli, J. (</w:t>
      </w:r>
      <w:r w:rsidR="0017107D" w:rsidRPr="00736D5E">
        <w:t>2006</w:t>
      </w:r>
      <w:r w:rsidRPr="00736D5E">
        <w:t xml:space="preserve">). Strategic selection as a retirement project: Will Americans develop hybrid arrangements? In J. B. James &amp; P. Wink (Eds.), </w:t>
      </w:r>
      <w:r w:rsidRPr="00736D5E">
        <w:rPr>
          <w:i/>
        </w:rPr>
        <w:t>Annual review of gerontology and geriatrics: The crown of life: Dynamics of the early postretirement period</w:t>
      </w:r>
      <w:r w:rsidRPr="00736D5E">
        <w:t xml:space="preserve"> (Vol. 26; pp. 61-81). New York</w:t>
      </w:r>
      <w:r w:rsidR="00DA7EEC" w:rsidRPr="00736D5E">
        <w:t>, NY</w:t>
      </w:r>
      <w:r w:rsidRPr="00736D5E">
        <w:t>: Springer Publishing.</w:t>
      </w:r>
    </w:p>
    <w:p w:rsidR="00FF7323" w:rsidRPr="00736D5E" w:rsidRDefault="00A7731E" w:rsidP="001A7A7A">
      <w:pPr>
        <w:widowControl w:val="0"/>
        <w:spacing w:line="480" w:lineRule="auto"/>
        <w:ind w:left="342" w:hanging="342"/>
        <w:rPr>
          <w:iCs/>
        </w:rPr>
      </w:pPr>
      <w:r w:rsidRPr="00736D5E">
        <w:rPr>
          <w:iCs/>
        </w:rPr>
        <w:t xml:space="preserve">Moen, P., Huang, Q., Plassmann, V., &amp; Dentinger, E. (2006). Deciding the future. </w:t>
      </w:r>
      <w:r w:rsidRPr="00736D5E">
        <w:rPr>
          <w:i/>
          <w:iCs/>
        </w:rPr>
        <w:t>American Behavioral Scientist, 49</w:t>
      </w:r>
      <w:r w:rsidRPr="00736D5E">
        <w:rPr>
          <w:iCs/>
        </w:rPr>
        <w:t>, 1422-1433.</w:t>
      </w:r>
    </w:p>
    <w:p w:rsidR="005E00D3" w:rsidRPr="00736D5E" w:rsidRDefault="005E00D3" w:rsidP="001A7A7A">
      <w:pPr>
        <w:widowControl w:val="0"/>
        <w:spacing w:line="480" w:lineRule="auto"/>
        <w:ind w:left="342" w:hanging="342"/>
        <w:rPr>
          <w:iCs/>
        </w:rPr>
      </w:pPr>
      <w:r w:rsidRPr="00736D5E">
        <w:rPr>
          <w:iCs/>
        </w:rPr>
        <w:t xml:space="preserve">Nolte, </w:t>
      </w:r>
      <w:r w:rsidR="009E3158" w:rsidRPr="00736D5E">
        <w:rPr>
          <w:iCs/>
        </w:rPr>
        <w:t xml:space="preserve">M. </w:t>
      </w:r>
      <w:r w:rsidRPr="00736D5E">
        <w:rPr>
          <w:iCs/>
        </w:rPr>
        <w:t xml:space="preserve">A., </w:t>
      </w:r>
      <w:r w:rsidR="009E3158" w:rsidRPr="00736D5E">
        <w:rPr>
          <w:iCs/>
        </w:rPr>
        <w:t xml:space="preserve">&amp; </w:t>
      </w:r>
      <w:r w:rsidRPr="00736D5E">
        <w:rPr>
          <w:iCs/>
        </w:rPr>
        <w:t>Servais</w:t>
      </w:r>
      <w:r w:rsidR="009E3158" w:rsidRPr="00736D5E">
        <w:rPr>
          <w:iCs/>
        </w:rPr>
        <w:t>, M. A. (</w:t>
      </w:r>
      <w:r w:rsidRPr="00736D5E">
        <w:rPr>
          <w:iCs/>
        </w:rPr>
        <w:t>2003, March</w:t>
      </w:r>
      <w:r w:rsidR="009E3158" w:rsidRPr="00736D5E">
        <w:rPr>
          <w:iCs/>
        </w:rPr>
        <w:t>)</w:t>
      </w:r>
      <w:r w:rsidR="00546637" w:rsidRPr="00736D5E">
        <w:rPr>
          <w:iCs/>
        </w:rPr>
        <w:t>.</w:t>
      </w:r>
      <w:r w:rsidRPr="00736D5E">
        <w:rPr>
          <w:iCs/>
        </w:rPr>
        <w:t xml:space="preserve"> </w:t>
      </w:r>
      <w:r w:rsidRPr="00736D5E">
        <w:rPr>
          <w:i/>
          <w:iCs/>
        </w:rPr>
        <w:t>Occupation and industry coding in HRS/AHEAD</w:t>
      </w:r>
      <w:r w:rsidRPr="00736D5E">
        <w:rPr>
          <w:iCs/>
        </w:rPr>
        <w:t xml:space="preserve"> (Health and Retirement Documentation Report DR-021). Retrieved from http://hrsonline.isr.umich.edu/docs/dmgt/dr-021.pdf</w:t>
      </w:r>
      <w:r w:rsidRPr="00736D5E">
        <w:t xml:space="preserve"> </w:t>
      </w:r>
    </w:p>
    <w:p w:rsidR="002010E4" w:rsidRPr="00736D5E" w:rsidRDefault="002010E4" w:rsidP="001A7A7A">
      <w:pPr>
        <w:widowControl w:val="0"/>
        <w:spacing w:line="480" w:lineRule="auto"/>
        <w:ind w:left="360" w:hanging="360"/>
      </w:pPr>
      <w:r w:rsidRPr="00736D5E">
        <w:t xml:space="preserve">O’Rand, A. M. (2001). Stratification and the life course: The forms of life-course capital and their interrelationships. In R. H. Binstock &amp; L. K. George (Eds.), </w:t>
      </w:r>
      <w:r w:rsidRPr="00736D5E">
        <w:rPr>
          <w:i/>
          <w:iCs/>
        </w:rPr>
        <w:t xml:space="preserve">Handbook of aging and the social sciences </w:t>
      </w:r>
      <w:r w:rsidRPr="00736D5E">
        <w:t>(5th ed., pp. 197-213). San Diego</w:t>
      </w:r>
      <w:r w:rsidR="00DA7EEC" w:rsidRPr="00736D5E">
        <w:t>, CA</w:t>
      </w:r>
      <w:r w:rsidRPr="00736D5E">
        <w:t>: Academic Press.</w:t>
      </w:r>
    </w:p>
    <w:p w:rsidR="00736D5E" w:rsidRPr="00736D5E" w:rsidRDefault="00736D5E" w:rsidP="001A7A7A">
      <w:pPr>
        <w:widowControl w:val="0"/>
        <w:spacing w:line="480" w:lineRule="auto"/>
        <w:ind w:left="342" w:right="12" w:hanging="342"/>
        <w:rPr>
          <w:rStyle w:val="apple-style-span"/>
          <w:color w:val="000000"/>
        </w:rPr>
      </w:pPr>
      <w:r w:rsidRPr="00736D5E">
        <w:t xml:space="preserve">Radloff, L. S. (1977). The CES-D Scale: A self-report depression scale for research in the general population. </w:t>
      </w:r>
      <w:r w:rsidRPr="00736D5E">
        <w:rPr>
          <w:i/>
          <w:iCs/>
        </w:rPr>
        <w:t>Applied Psychological Measurement, 1</w:t>
      </w:r>
      <w:r w:rsidRPr="00736D5E">
        <w:t>(3), 385-401.</w:t>
      </w:r>
    </w:p>
    <w:p w:rsidR="006F01BF" w:rsidRDefault="006F01BF" w:rsidP="001A7A7A">
      <w:pPr>
        <w:widowControl w:val="0"/>
        <w:spacing w:line="480" w:lineRule="auto"/>
        <w:ind w:left="342" w:right="12" w:hanging="342"/>
        <w:rPr>
          <w:rStyle w:val="apple-style-span"/>
          <w:color w:val="000000"/>
        </w:rPr>
      </w:pPr>
    </w:p>
    <w:p w:rsidR="00B571CB" w:rsidRPr="00736D5E" w:rsidRDefault="00B571CB" w:rsidP="001A7A7A">
      <w:pPr>
        <w:widowControl w:val="0"/>
        <w:spacing w:line="480" w:lineRule="auto"/>
        <w:ind w:left="342" w:right="12" w:hanging="342"/>
        <w:rPr>
          <w:color w:val="000000" w:themeColor="text1"/>
        </w:rPr>
      </w:pPr>
      <w:r w:rsidRPr="00736D5E">
        <w:rPr>
          <w:rStyle w:val="apple-style-span"/>
          <w:color w:val="000000"/>
        </w:rPr>
        <w:lastRenderedPageBreak/>
        <w:t>Rainville, G. (2009, May).</w:t>
      </w:r>
      <w:r w:rsidRPr="00736D5E">
        <w:rPr>
          <w:rStyle w:val="apple-converted-space"/>
          <w:color w:val="000000"/>
        </w:rPr>
        <w:t> </w:t>
      </w:r>
      <w:r w:rsidRPr="00736D5E">
        <w:rPr>
          <w:rStyle w:val="apple-style-span"/>
          <w:i/>
          <w:iCs/>
          <w:color w:val="000000"/>
        </w:rPr>
        <w:t>AA</w:t>
      </w:r>
      <w:r w:rsidR="00DD774A" w:rsidRPr="00736D5E">
        <w:rPr>
          <w:rStyle w:val="apple-style-span"/>
          <w:i/>
          <w:color w:val="000000" w:themeColor="text1"/>
        </w:rPr>
        <w:t>RP bulletin survey on employment status of the 45+ population: Executive summary</w:t>
      </w:r>
      <w:r w:rsidR="00DD774A" w:rsidRPr="00736D5E">
        <w:rPr>
          <w:rStyle w:val="apple-style-span"/>
          <w:color w:val="000000" w:themeColor="text1"/>
        </w:rPr>
        <w:t>. Washington, DC: AARP. Retrieved from</w:t>
      </w:r>
      <w:r w:rsidR="00DD774A" w:rsidRPr="00736D5E">
        <w:rPr>
          <w:rStyle w:val="apple-converted-space"/>
          <w:color w:val="000000" w:themeColor="text1"/>
        </w:rPr>
        <w:t> </w:t>
      </w:r>
      <w:hyperlink r:id="rId9" w:tgtFrame="_blank" w:history="1">
        <w:r w:rsidR="00DD774A" w:rsidRPr="00736D5E">
          <w:rPr>
            <w:rStyle w:val="Hyperlink"/>
            <w:color w:val="000000" w:themeColor="text1"/>
            <w:u w:val="none"/>
          </w:rPr>
          <w:t>http://assets.aarp.org/rgcenter/econ/bulletin_jobs_09.pdf</w:t>
        </w:r>
      </w:hyperlink>
    </w:p>
    <w:p w:rsidR="00674F90" w:rsidRPr="00736D5E" w:rsidRDefault="00DD774A" w:rsidP="001A7A7A">
      <w:pPr>
        <w:widowControl w:val="0"/>
        <w:spacing w:line="480" w:lineRule="auto"/>
        <w:ind w:left="342" w:hanging="342"/>
        <w:rPr>
          <w:color w:val="000000" w:themeColor="text1"/>
        </w:rPr>
      </w:pPr>
      <w:r w:rsidRPr="00736D5E">
        <w:rPr>
          <w:color w:val="000000" w:themeColor="text1"/>
        </w:rPr>
        <w:t xml:space="preserve">Raudenbush, S. W., &amp; Bryk, A. S. (2002). </w:t>
      </w:r>
      <w:r w:rsidRPr="00736D5E">
        <w:rPr>
          <w:i/>
          <w:color w:val="000000" w:themeColor="text1"/>
        </w:rPr>
        <w:t xml:space="preserve">Hierarchical linear models: Applications and data analysis methods </w:t>
      </w:r>
      <w:r w:rsidRPr="00736D5E">
        <w:rPr>
          <w:color w:val="000000" w:themeColor="text1"/>
        </w:rPr>
        <w:t>(2</w:t>
      </w:r>
      <w:r w:rsidRPr="00736D5E">
        <w:rPr>
          <w:color w:val="000000" w:themeColor="text1"/>
          <w:vertAlign w:val="superscript"/>
        </w:rPr>
        <w:t>nd</w:t>
      </w:r>
      <w:r w:rsidRPr="00736D5E">
        <w:rPr>
          <w:color w:val="000000" w:themeColor="text1"/>
        </w:rPr>
        <w:t xml:space="preserve"> ed.). Thousand Oaks, CA: Sage.</w:t>
      </w:r>
    </w:p>
    <w:p w:rsidR="00531E09" w:rsidRPr="00736D5E" w:rsidRDefault="00DD774A" w:rsidP="001A7A7A">
      <w:pPr>
        <w:widowControl w:val="0"/>
        <w:spacing w:line="480" w:lineRule="auto"/>
        <w:ind w:left="342" w:hanging="342"/>
        <w:rPr>
          <w:color w:val="000000" w:themeColor="text1"/>
        </w:rPr>
      </w:pPr>
      <w:r w:rsidRPr="00736D5E">
        <w:rPr>
          <w:color w:val="000000" w:themeColor="text1"/>
        </w:rPr>
        <w:t xml:space="preserve">Rosenkoetter, M. M., &amp; Garris, J. M. (1998). Psychosocial changes following retirement. </w:t>
      </w:r>
      <w:r w:rsidRPr="00736D5E">
        <w:rPr>
          <w:i/>
          <w:color w:val="000000" w:themeColor="text1"/>
        </w:rPr>
        <w:t>Journal of Advanced Nursing, 27</w:t>
      </w:r>
      <w:r w:rsidRPr="00736D5E">
        <w:rPr>
          <w:color w:val="000000" w:themeColor="text1"/>
        </w:rPr>
        <w:t>, 966-976.</w:t>
      </w:r>
    </w:p>
    <w:p w:rsidR="00531E09" w:rsidRPr="00736D5E" w:rsidRDefault="00DD774A" w:rsidP="001A7A7A">
      <w:pPr>
        <w:widowControl w:val="0"/>
        <w:spacing w:line="480" w:lineRule="auto"/>
        <w:ind w:left="342" w:hanging="342"/>
        <w:rPr>
          <w:color w:val="000000" w:themeColor="text1"/>
        </w:rPr>
      </w:pPr>
      <w:r w:rsidRPr="00736D5E">
        <w:rPr>
          <w:color w:val="000000" w:themeColor="text1"/>
        </w:rPr>
        <w:t xml:space="preserve">Rosenkoetter, M. M., &amp; Garris, J. M. (2001). Retirement planning, use of time, and psychological adjustment. </w:t>
      </w:r>
      <w:r w:rsidRPr="00736D5E">
        <w:rPr>
          <w:i/>
          <w:color w:val="000000" w:themeColor="text1"/>
        </w:rPr>
        <w:t>Issues in Mental Health Nursing, 22</w:t>
      </w:r>
      <w:r w:rsidRPr="00736D5E">
        <w:rPr>
          <w:color w:val="000000" w:themeColor="text1"/>
        </w:rPr>
        <w:t>(7), 703-722.</w:t>
      </w:r>
    </w:p>
    <w:p w:rsidR="00D51199" w:rsidRPr="00736D5E" w:rsidRDefault="00DD774A" w:rsidP="001A7A7A">
      <w:pPr>
        <w:widowControl w:val="0"/>
        <w:spacing w:line="480" w:lineRule="auto"/>
        <w:ind w:left="342" w:hanging="342"/>
        <w:rPr>
          <w:color w:val="000000" w:themeColor="text1"/>
        </w:rPr>
      </w:pPr>
      <w:r w:rsidRPr="00736D5E">
        <w:rPr>
          <w:color w:val="000000" w:themeColor="text1"/>
        </w:rPr>
        <w:t xml:space="preserve">Savishinsky, J. S. (2000). </w:t>
      </w:r>
      <w:r w:rsidRPr="00736D5E">
        <w:rPr>
          <w:i/>
          <w:color w:val="000000" w:themeColor="text1"/>
        </w:rPr>
        <w:t>Breaking the watch: The meanings of retirement in America</w:t>
      </w:r>
      <w:r w:rsidRPr="00736D5E">
        <w:rPr>
          <w:color w:val="000000" w:themeColor="text1"/>
        </w:rPr>
        <w:t>. Ithaca, NY: Cornell University Press.</w:t>
      </w:r>
    </w:p>
    <w:p w:rsidR="005953B2" w:rsidRPr="00736D5E" w:rsidRDefault="00DD774A" w:rsidP="001A7A7A">
      <w:pPr>
        <w:widowControl w:val="0"/>
        <w:spacing w:line="480" w:lineRule="auto"/>
        <w:ind w:left="342" w:hanging="342"/>
        <w:rPr>
          <w:color w:val="000000" w:themeColor="text1"/>
        </w:rPr>
      </w:pPr>
      <w:r w:rsidRPr="00736D5E">
        <w:rPr>
          <w:color w:val="000000" w:themeColor="text1"/>
        </w:rPr>
        <w:t xml:space="preserve">Sayer, A. G., &amp; Klute, M. M. (2005). Analyzing couples and families: Multilevel methods. In V. L. Bengston, A. C. Acock, K. R. Allen, P. Dilworth-Anderson, &amp; D. M. Klein (Eds.), </w:t>
      </w:r>
      <w:r w:rsidRPr="00736D5E">
        <w:rPr>
          <w:i/>
          <w:color w:val="000000" w:themeColor="text1"/>
        </w:rPr>
        <w:t>Sourcebook of family theory and research</w:t>
      </w:r>
      <w:r w:rsidRPr="00736D5E">
        <w:rPr>
          <w:color w:val="000000" w:themeColor="text1"/>
        </w:rPr>
        <w:t xml:space="preserve"> (pp. 289-313). Thousand Oaks, CA: Sage.</w:t>
      </w:r>
    </w:p>
    <w:p w:rsidR="004F0A31" w:rsidRPr="00736D5E" w:rsidRDefault="00DD774A" w:rsidP="001A7A7A">
      <w:pPr>
        <w:widowControl w:val="0"/>
        <w:spacing w:line="480" w:lineRule="auto"/>
        <w:ind w:left="346" w:hanging="346"/>
        <w:rPr>
          <w:color w:val="000000" w:themeColor="text1"/>
        </w:rPr>
      </w:pPr>
      <w:r w:rsidRPr="00736D5E">
        <w:rPr>
          <w:color w:val="000000" w:themeColor="text1"/>
        </w:rPr>
        <w:t xml:space="preserve">Time Special Report. (2009, May 25). The future of work [cover story]. </w:t>
      </w:r>
      <w:r w:rsidRPr="00736D5E">
        <w:rPr>
          <w:i/>
          <w:color w:val="000000" w:themeColor="text1"/>
        </w:rPr>
        <w:t>Time Magazine</w:t>
      </w:r>
      <w:r w:rsidRPr="00736D5E">
        <w:rPr>
          <w:color w:val="000000" w:themeColor="text1"/>
        </w:rPr>
        <w:t>, 39-51.</w:t>
      </w:r>
    </w:p>
    <w:p w:rsidR="007F4EE1" w:rsidRPr="00736D5E" w:rsidRDefault="00DD774A" w:rsidP="001A7A7A">
      <w:pPr>
        <w:widowControl w:val="0"/>
        <w:spacing w:line="480" w:lineRule="auto"/>
        <w:ind w:left="360" w:hanging="360"/>
        <w:rPr>
          <w:color w:val="000000" w:themeColor="text1"/>
        </w:rPr>
      </w:pPr>
      <w:r w:rsidRPr="00736D5E">
        <w:rPr>
          <w:color w:val="000000" w:themeColor="text1"/>
        </w:rPr>
        <w:t xml:space="preserve">U.S. Bureau of Labor Statistics. (2009). </w:t>
      </w:r>
      <w:r w:rsidRPr="00736D5E">
        <w:rPr>
          <w:i/>
          <w:color w:val="000000" w:themeColor="text1"/>
        </w:rPr>
        <w:t xml:space="preserve">Women in the labor force: A databook </w:t>
      </w:r>
      <w:r w:rsidRPr="00736D5E">
        <w:rPr>
          <w:color w:val="000000" w:themeColor="text1"/>
        </w:rPr>
        <w:t xml:space="preserve">(Report 1018). Retrieved from </w:t>
      </w:r>
      <w:r w:rsidRPr="00736D5E">
        <w:rPr>
          <w:rStyle w:val="HTMLCite"/>
          <w:color w:val="000000" w:themeColor="text1"/>
        </w:rPr>
        <w:t>www.bls.gov/cps/wlf-</w:t>
      </w:r>
      <w:r w:rsidRPr="00736D5E">
        <w:rPr>
          <w:rStyle w:val="Strong"/>
          <w:b w:val="0"/>
          <w:color w:val="000000" w:themeColor="text1"/>
        </w:rPr>
        <w:t>databook</w:t>
      </w:r>
      <w:r w:rsidRPr="00736D5E">
        <w:rPr>
          <w:rStyle w:val="HTMLCite"/>
          <w:color w:val="000000" w:themeColor="text1"/>
        </w:rPr>
        <w:t>-2009.pdf</w:t>
      </w:r>
    </w:p>
    <w:p w:rsidR="00C1797B" w:rsidRPr="00736D5E" w:rsidRDefault="00C1797B" w:rsidP="001A7A7A">
      <w:pPr>
        <w:widowControl w:val="0"/>
        <w:spacing w:line="480" w:lineRule="auto"/>
        <w:ind w:left="360" w:hanging="360"/>
      </w:pPr>
    </w:p>
    <w:p w:rsidR="00D247C7" w:rsidRDefault="00D247C7">
      <w:r>
        <w:br w:type="page"/>
      </w:r>
    </w:p>
    <w:p w:rsidR="00D247C7" w:rsidRDefault="00D247C7" w:rsidP="00D247C7">
      <w:pPr>
        <w:widowControl w:val="0"/>
        <w:tabs>
          <w:tab w:val="left" w:pos="0"/>
        </w:tabs>
        <w:spacing w:before="120" w:line="480" w:lineRule="auto"/>
        <w:ind w:right="-158"/>
      </w:pPr>
      <w:r>
        <w:lastRenderedPageBreak/>
        <w:t>Table 1</w:t>
      </w:r>
    </w:p>
    <w:p w:rsidR="00D247C7" w:rsidRPr="000176E2" w:rsidRDefault="00D247C7" w:rsidP="00D247C7">
      <w:pPr>
        <w:widowControl w:val="0"/>
        <w:spacing w:line="480" w:lineRule="auto"/>
        <w:rPr>
          <w:i/>
        </w:rPr>
      </w:pPr>
      <w:r w:rsidRPr="000176E2">
        <w:rPr>
          <w:i/>
        </w:rPr>
        <w:t>Multilevel Model Results Predicting Ant</w:t>
      </w:r>
      <w:r>
        <w:rPr>
          <w:i/>
        </w:rPr>
        <w:t>icipatory Socialization (N=1,028</w:t>
      </w:r>
      <w:r w:rsidRPr="000176E2">
        <w:rPr>
          <w:i/>
        </w:rPr>
        <w:t xml:space="preserve"> Couples)</w:t>
      </w:r>
    </w:p>
    <w:tbl>
      <w:tblPr>
        <w:tblW w:w="9661" w:type="dxa"/>
        <w:tblLayout w:type="fixed"/>
        <w:tblLook w:val="01E0" w:firstRow="1" w:lastRow="1" w:firstColumn="1" w:lastColumn="1" w:noHBand="0" w:noVBand="0"/>
      </w:tblPr>
      <w:tblGrid>
        <w:gridCol w:w="2988"/>
        <w:gridCol w:w="1026"/>
        <w:gridCol w:w="594"/>
        <w:gridCol w:w="1023"/>
        <w:gridCol w:w="687"/>
        <w:gridCol w:w="1060"/>
        <w:gridCol w:w="573"/>
        <w:gridCol w:w="1060"/>
        <w:gridCol w:w="650"/>
      </w:tblGrid>
      <w:tr w:rsidR="00D247C7" w:rsidRPr="000176E2" w:rsidTr="00DF5E0B">
        <w:tc>
          <w:tcPr>
            <w:tcW w:w="2988" w:type="dxa"/>
            <w:tcBorders>
              <w:top w:val="single" w:sz="4" w:space="0" w:color="auto"/>
            </w:tcBorders>
          </w:tcPr>
          <w:p w:rsidR="00D247C7" w:rsidRPr="000176E2" w:rsidRDefault="00D247C7" w:rsidP="00DF5E0B">
            <w:pPr>
              <w:widowControl w:val="0"/>
              <w:spacing w:before="120" w:line="480" w:lineRule="auto"/>
            </w:pPr>
          </w:p>
        </w:tc>
        <w:tc>
          <w:tcPr>
            <w:tcW w:w="3330" w:type="dxa"/>
            <w:gridSpan w:val="4"/>
            <w:tcBorders>
              <w:top w:val="single" w:sz="4" w:space="0" w:color="auto"/>
            </w:tcBorders>
          </w:tcPr>
          <w:p w:rsidR="00D247C7" w:rsidRPr="000176E2" w:rsidRDefault="00D247C7" w:rsidP="00DF5E0B">
            <w:pPr>
              <w:widowControl w:val="0"/>
              <w:spacing w:before="120" w:line="480" w:lineRule="auto"/>
              <w:ind w:left="-108" w:right="-108"/>
              <w:jc w:val="center"/>
            </w:pPr>
            <w:r w:rsidRPr="000176E2">
              <w:t>Unconditional Model</w:t>
            </w:r>
          </w:p>
        </w:tc>
        <w:tc>
          <w:tcPr>
            <w:tcW w:w="3343" w:type="dxa"/>
            <w:gridSpan w:val="4"/>
            <w:tcBorders>
              <w:top w:val="single" w:sz="4" w:space="0" w:color="auto"/>
            </w:tcBorders>
          </w:tcPr>
          <w:p w:rsidR="00D247C7" w:rsidRPr="000176E2" w:rsidRDefault="00D247C7" w:rsidP="00DF5E0B">
            <w:pPr>
              <w:widowControl w:val="0"/>
              <w:spacing w:before="120" w:line="480" w:lineRule="auto"/>
              <w:ind w:left="-82"/>
              <w:jc w:val="center"/>
            </w:pPr>
            <w:r w:rsidRPr="000176E2">
              <w:t>Conditional Model</w:t>
            </w:r>
          </w:p>
        </w:tc>
      </w:tr>
      <w:tr w:rsidR="00D247C7" w:rsidRPr="000176E2" w:rsidTr="00DF5E0B">
        <w:tc>
          <w:tcPr>
            <w:tcW w:w="2988" w:type="dxa"/>
          </w:tcPr>
          <w:p w:rsidR="00D247C7" w:rsidRPr="000176E2" w:rsidRDefault="00D247C7" w:rsidP="00DF5E0B">
            <w:pPr>
              <w:widowControl w:val="0"/>
              <w:spacing w:line="480" w:lineRule="auto"/>
              <w:ind w:left="-57"/>
            </w:pPr>
          </w:p>
        </w:tc>
        <w:tc>
          <w:tcPr>
            <w:tcW w:w="1620" w:type="dxa"/>
            <w:gridSpan w:val="2"/>
          </w:tcPr>
          <w:p w:rsidR="00D247C7" w:rsidRPr="000176E2" w:rsidRDefault="00D247C7" w:rsidP="00DF5E0B">
            <w:pPr>
              <w:widowControl w:val="0"/>
              <w:spacing w:line="480" w:lineRule="auto"/>
              <w:ind w:left="-108" w:right="-108"/>
              <w:jc w:val="center"/>
              <w:rPr>
                <w:u w:val="single"/>
              </w:rPr>
            </w:pPr>
            <w:r w:rsidRPr="000176E2">
              <w:rPr>
                <w:u w:val="single"/>
              </w:rPr>
              <w:t>Husbands</w:t>
            </w:r>
          </w:p>
        </w:tc>
        <w:tc>
          <w:tcPr>
            <w:tcW w:w="1710" w:type="dxa"/>
            <w:gridSpan w:val="2"/>
          </w:tcPr>
          <w:p w:rsidR="00D247C7" w:rsidRPr="000176E2" w:rsidRDefault="00D247C7" w:rsidP="00DF5E0B">
            <w:pPr>
              <w:widowControl w:val="0"/>
              <w:spacing w:line="480" w:lineRule="auto"/>
              <w:ind w:left="-51" w:right="-108"/>
              <w:jc w:val="center"/>
              <w:rPr>
                <w:u w:val="single"/>
              </w:rPr>
            </w:pPr>
            <w:r w:rsidRPr="000176E2">
              <w:rPr>
                <w:u w:val="single"/>
              </w:rPr>
              <w:t>Wives</w:t>
            </w:r>
          </w:p>
        </w:tc>
        <w:tc>
          <w:tcPr>
            <w:tcW w:w="1633" w:type="dxa"/>
            <w:gridSpan w:val="2"/>
          </w:tcPr>
          <w:p w:rsidR="00D247C7" w:rsidRPr="000176E2" w:rsidRDefault="00D247C7" w:rsidP="00DF5E0B">
            <w:pPr>
              <w:widowControl w:val="0"/>
              <w:spacing w:line="480" w:lineRule="auto"/>
              <w:ind w:left="-82" w:right="-124"/>
              <w:jc w:val="center"/>
              <w:rPr>
                <w:u w:val="single"/>
              </w:rPr>
            </w:pPr>
            <w:r w:rsidRPr="000176E2">
              <w:rPr>
                <w:u w:val="single"/>
              </w:rPr>
              <w:t>Husbands</w:t>
            </w:r>
          </w:p>
        </w:tc>
        <w:tc>
          <w:tcPr>
            <w:tcW w:w="1710" w:type="dxa"/>
            <w:gridSpan w:val="2"/>
          </w:tcPr>
          <w:p w:rsidR="00D247C7" w:rsidRPr="000176E2" w:rsidRDefault="00D247C7" w:rsidP="00DF5E0B">
            <w:pPr>
              <w:widowControl w:val="0"/>
              <w:spacing w:line="480" w:lineRule="auto"/>
              <w:jc w:val="center"/>
              <w:rPr>
                <w:u w:val="single"/>
              </w:rPr>
            </w:pPr>
            <w:r w:rsidRPr="000176E2">
              <w:rPr>
                <w:u w:val="single"/>
              </w:rPr>
              <w:t>Wives</w:t>
            </w:r>
          </w:p>
        </w:tc>
      </w:tr>
      <w:tr w:rsidR="00D247C7" w:rsidRPr="000176E2" w:rsidTr="00DF5E0B">
        <w:tc>
          <w:tcPr>
            <w:tcW w:w="2988" w:type="dxa"/>
            <w:tcBorders>
              <w:bottom w:val="single" w:sz="4" w:space="0" w:color="auto"/>
            </w:tcBorders>
          </w:tcPr>
          <w:p w:rsidR="00D247C7" w:rsidRPr="00F90344" w:rsidRDefault="00D247C7" w:rsidP="00DF5E0B">
            <w:pPr>
              <w:widowControl w:val="0"/>
              <w:spacing w:line="480" w:lineRule="auto"/>
              <w:rPr>
                <w:sz w:val="22"/>
                <w:szCs w:val="22"/>
              </w:rPr>
            </w:pPr>
            <w:r w:rsidRPr="00F90344">
              <w:rPr>
                <w:sz w:val="22"/>
                <w:szCs w:val="22"/>
              </w:rPr>
              <w:t>Model</w:t>
            </w:r>
          </w:p>
        </w:tc>
        <w:tc>
          <w:tcPr>
            <w:tcW w:w="1026" w:type="dxa"/>
            <w:tcBorders>
              <w:bottom w:val="single" w:sz="4" w:space="0" w:color="auto"/>
            </w:tcBorders>
          </w:tcPr>
          <w:p w:rsidR="00D247C7" w:rsidRPr="00F90344" w:rsidRDefault="00D247C7" w:rsidP="00DF5E0B">
            <w:pPr>
              <w:widowControl w:val="0"/>
              <w:spacing w:line="480" w:lineRule="auto"/>
              <w:ind w:left="-108" w:right="-108"/>
              <w:rPr>
                <w:sz w:val="22"/>
                <w:szCs w:val="22"/>
              </w:rPr>
            </w:pPr>
            <w:r w:rsidRPr="00F90344">
              <w:rPr>
                <w:sz w:val="22"/>
                <w:szCs w:val="22"/>
              </w:rPr>
              <w:t>Coefficient</w:t>
            </w:r>
          </w:p>
        </w:tc>
        <w:tc>
          <w:tcPr>
            <w:tcW w:w="594" w:type="dxa"/>
            <w:tcBorders>
              <w:bottom w:val="single" w:sz="4" w:space="0" w:color="auto"/>
            </w:tcBorders>
          </w:tcPr>
          <w:p w:rsidR="00D247C7" w:rsidRPr="00F90344" w:rsidRDefault="00D247C7" w:rsidP="00DF5E0B">
            <w:pPr>
              <w:widowControl w:val="0"/>
              <w:spacing w:line="480" w:lineRule="auto"/>
              <w:ind w:left="-51" w:right="-108"/>
              <w:jc w:val="center"/>
              <w:rPr>
                <w:i/>
                <w:sz w:val="22"/>
                <w:szCs w:val="22"/>
              </w:rPr>
            </w:pPr>
            <w:r w:rsidRPr="00F90344">
              <w:rPr>
                <w:i/>
                <w:sz w:val="22"/>
                <w:szCs w:val="22"/>
              </w:rPr>
              <w:t>SE</w:t>
            </w:r>
          </w:p>
        </w:tc>
        <w:tc>
          <w:tcPr>
            <w:tcW w:w="1023" w:type="dxa"/>
            <w:tcBorders>
              <w:bottom w:val="single" w:sz="4" w:space="0" w:color="auto"/>
            </w:tcBorders>
          </w:tcPr>
          <w:p w:rsidR="00D247C7" w:rsidRPr="00F90344" w:rsidRDefault="00D247C7" w:rsidP="00DF5E0B">
            <w:pPr>
              <w:widowControl w:val="0"/>
              <w:spacing w:line="480" w:lineRule="auto"/>
              <w:ind w:left="-75" w:right="-108"/>
              <w:rPr>
                <w:sz w:val="22"/>
                <w:szCs w:val="22"/>
              </w:rPr>
            </w:pPr>
            <w:r w:rsidRPr="00F90344">
              <w:rPr>
                <w:sz w:val="22"/>
                <w:szCs w:val="22"/>
              </w:rPr>
              <w:t>Coefficient</w:t>
            </w:r>
          </w:p>
        </w:tc>
        <w:tc>
          <w:tcPr>
            <w:tcW w:w="687" w:type="dxa"/>
            <w:tcBorders>
              <w:bottom w:val="single" w:sz="4" w:space="0" w:color="auto"/>
            </w:tcBorders>
          </w:tcPr>
          <w:p w:rsidR="00D247C7" w:rsidRPr="00F90344" w:rsidRDefault="00D247C7" w:rsidP="00DF5E0B">
            <w:pPr>
              <w:widowControl w:val="0"/>
              <w:spacing w:line="480" w:lineRule="auto"/>
              <w:ind w:left="-51" w:right="-108"/>
              <w:jc w:val="center"/>
              <w:rPr>
                <w:i/>
                <w:sz w:val="22"/>
                <w:szCs w:val="22"/>
              </w:rPr>
            </w:pPr>
            <w:r w:rsidRPr="00F90344">
              <w:rPr>
                <w:i/>
                <w:sz w:val="22"/>
                <w:szCs w:val="22"/>
              </w:rPr>
              <w:t>SE</w:t>
            </w:r>
          </w:p>
        </w:tc>
        <w:tc>
          <w:tcPr>
            <w:tcW w:w="1060" w:type="dxa"/>
            <w:tcBorders>
              <w:bottom w:val="single" w:sz="4" w:space="0" w:color="auto"/>
            </w:tcBorders>
          </w:tcPr>
          <w:p w:rsidR="00D247C7" w:rsidRPr="00F90344" w:rsidRDefault="00D247C7" w:rsidP="00DF5E0B">
            <w:pPr>
              <w:widowControl w:val="0"/>
              <w:spacing w:line="480" w:lineRule="auto"/>
              <w:ind w:left="-82" w:right="-90"/>
              <w:rPr>
                <w:sz w:val="22"/>
                <w:szCs w:val="22"/>
              </w:rPr>
            </w:pPr>
            <w:r w:rsidRPr="00F90344">
              <w:rPr>
                <w:sz w:val="22"/>
                <w:szCs w:val="22"/>
              </w:rPr>
              <w:t>Coefficient</w:t>
            </w:r>
          </w:p>
        </w:tc>
        <w:tc>
          <w:tcPr>
            <w:tcW w:w="573" w:type="dxa"/>
            <w:tcBorders>
              <w:bottom w:val="single" w:sz="4" w:space="0" w:color="auto"/>
            </w:tcBorders>
          </w:tcPr>
          <w:p w:rsidR="00D247C7" w:rsidRPr="00F90344" w:rsidRDefault="00D247C7" w:rsidP="00DF5E0B">
            <w:pPr>
              <w:widowControl w:val="0"/>
              <w:spacing w:line="480" w:lineRule="auto"/>
              <w:ind w:left="-126" w:right="-124"/>
              <w:jc w:val="center"/>
              <w:rPr>
                <w:i/>
                <w:sz w:val="22"/>
                <w:szCs w:val="22"/>
              </w:rPr>
            </w:pPr>
            <w:r w:rsidRPr="00F90344">
              <w:rPr>
                <w:i/>
                <w:sz w:val="22"/>
                <w:szCs w:val="22"/>
              </w:rPr>
              <w:t>SE</w:t>
            </w:r>
          </w:p>
        </w:tc>
        <w:tc>
          <w:tcPr>
            <w:tcW w:w="1060" w:type="dxa"/>
            <w:tcBorders>
              <w:bottom w:val="single" w:sz="4" w:space="0" w:color="auto"/>
            </w:tcBorders>
          </w:tcPr>
          <w:p w:rsidR="00D247C7" w:rsidRPr="00F90344" w:rsidRDefault="00D247C7" w:rsidP="00DF5E0B">
            <w:pPr>
              <w:widowControl w:val="0"/>
              <w:spacing w:line="480" w:lineRule="auto"/>
              <w:ind w:left="-92" w:right="-139"/>
              <w:rPr>
                <w:sz w:val="22"/>
                <w:szCs w:val="22"/>
              </w:rPr>
            </w:pPr>
            <w:r w:rsidRPr="00F90344">
              <w:rPr>
                <w:sz w:val="22"/>
                <w:szCs w:val="22"/>
              </w:rPr>
              <w:t>Coefficient</w:t>
            </w:r>
          </w:p>
        </w:tc>
        <w:tc>
          <w:tcPr>
            <w:tcW w:w="650" w:type="dxa"/>
            <w:tcBorders>
              <w:bottom w:val="single" w:sz="4" w:space="0" w:color="auto"/>
            </w:tcBorders>
          </w:tcPr>
          <w:p w:rsidR="00D247C7" w:rsidRPr="00F90344" w:rsidRDefault="00D247C7" w:rsidP="00DF5E0B">
            <w:pPr>
              <w:widowControl w:val="0"/>
              <w:spacing w:line="480" w:lineRule="auto"/>
              <w:ind w:left="-77"/>
              <w:jc w:val="center"/>
              <w:rPr>
                <w:i/>
                <w:sz w:val="22"/>
                <w:szCs w:val="22"/>
              </w:rPr>
            </w:pPr>
            <w:r w:rsidRPr="00F90344">
              <w:rPr>
                <w:i/>
                <w:sz w:val="22"/>
                <w:szCs w:val="22"/>
              </w:rPr>
              <w:t>SE</w:t>
            </w:r>
          </w:p>
        </w:tc>
      </w:tr>
      <w:tr w:rsidR="00D247C7" w:rsidRPr="000176E2" w:rsidTr="00DF5E0B">
        <w:tc>
          <w:tcPr>
            <w:tcW w:w="2988" w:type="dxa"/>
            <w:tcBorders>
              <w:top w:val="single" w:sz="4" w:space="0" w:color="auto"/>
            </w:tcBorders>
            <w:vAlign w:val="bottom"/>
          </w:tcPr>
          <w:p w:rsidR="00D247C7" w:rsidRPr="000176E2" w:rsidRDefault="00D247C7" w:rsidP="00DF5E0B">
            <w:pPr>
              <w:widowControl w:val="0"/>
              <w:spacing w:before="120" w:line="480" w:lineRule="auto"/>
              <w:ind w:right="-108"/>
            </w:pPr>
            <w:r w:rsidRPr="000176E2">
              <w:t>Intercept</w:t>
            </w:r>
          </w:p>
        </w:tc>
        <w:tc>
          <w:tcPr>
            <w:tcW w:w="1026" w:type="dxa"/>
            <w:tcBorders>
              <w:top w:val="single" w:sz="4" w:space="0" w:color="auto"/>
            </w:tcBorders>
          </w:tcPr>
          <w:p w:rsidR="00D247C7" w:rsidRPr="000176E2" w:rsidRDefault="00D247C7" w:rsidP="00DF5E0B">
            <w:pPr>
              <w:widowControl w:val="0"/>
              <w:spacing w:before="120" w:line="480" w:lineRule="auto"/>
              <w:ind w:left="-108" w:right="-108"/>
              <w:jc w:val="center"/>
            </w:pPr>
            <w:r>
              <w:t>4.61**</w:t>
            </w:r>
          </w:p>
        </w:tc>
        <w:tc>
          <w:tcPr>
            <w:tcW w:w="594" w:type="dxa"/>
            <w:tcBorders>
              <w:top w:val="single" w:sz="4" w:space="0" w:color="auto"/>
            </w:tcBorders>
          </w:tcPr>
          <w:p w:rsidR="00D247C7" w:rsidRPr="000176E2" w:rsidRDefault="00D247C7" w:rsidP="00DF5E0B">
            <w:pPr>
              <w:widowControl w:val="0"/>
              <w:spacing w:before="120" w:line="480" w:lineRule="auto"/>
              <w:ind w:left="-51" w:right="-108"/>
              <w:jc w:val="center"/>
            </w:pPr>
            <w:r>
              <w:t>.09</w:t>
            </w:r>
          </w:p>
        </w:tc>
        <w:tc>
          <w:tcPr>
            <w:tcW w:w="1023" w:type="dxa"/>
            <w:tcBorders>
              <w:top w:val="single" w:sz="4" w:space="0" w:color="auto"/>
            </w:tcBorders>
            <w:vAlign w:val="bottom"/>
          </w:tcPr>
          <w:p w:rsidR="00D247C7" w:rsidRPr="000176E2" w:rsidRDefault="00D247C7" w:rsidP="00DF5E0B">
            <w:pPr>
              <w:widowControl w:val="0"/>
              <w:spacing w:before="120" w:line="480" w:lineRule="auto"/>
              <w:ind w:left="-51" w:right="-108"/>
              <w:jc w:val="center"/>
            </w:pPr>
            <w:r>
              <w:t>4.21**</w:t>
            </w:r>
          </w:p>
        </w:tc>
        <w:tc>
          <w:tcPr>
            <w:tcW w:w="687" w:type="dxa"/>
            <w:tcBorders>
              <w:top w:val="single" w:sz="4" w:space="0" w:color="auto"/>
            </w:tcBorders>
            <w:vAlign w:val="bottom"/>
          </w:tcPr>
          <w:p w:rsidR="00D247C7" w:rsidRPr="000176E2" w:rsidRDefault="00D247C7" w:rsidP="00DF5E0B">
            <w:pPr>
              <w:widowControl w:val="0"/>
              <w:spacing w:before="120" w:line="480" w:lineRule="auto"/>
              <w:ind w:left="-51" w:right="-108"/>
              <w:jc w:val="center"/>
            </w:pPr>
            <w:r>
              <w:t>.09</w:t>
            </w:r>
          </w:p>
        </w:tc>
        <w:tc>
          <w:tcPr>
            <w:tcW w:w="1060" w:type="dxa"/>
            <w:tcBorders>
              <w:top w:val="single" w:sz="4" w:space="0" w:color="auto"/>
            </w:tcBorders>
            <w:vAlign w:val="bottom"/>
          </w:tcPr>
          <w:p w:rsidR="00D247C7" w:rsidRPr="000176E2" w:rsidRDefault="00D247C7" w:rsidP="00DF5E0B">
            <w:pPr>
              <w:widowControl w:val="0"/>
              <w:tabs>
                <w:tab w:val="decimal" w:pos="268"/>
              </w:tabs>
              <w:spacing w:before="120" w:line="480" w:lineRule="auto"/>
              <w:ind w:left="-82" w:right="-90"/>
            </w:pPr>
            <w:r>
              <w:t>3.12**</w:t>
            </w:r>
          </w:p>
        </w:tc>
        <w:tc>
          <w:tcPr>
            <w:tcW w:w="573" w:type="dxa"/>
            <w:tcBorders>
              <w:top w:val="single" w:sz="4" w:space="0" w:color="auto"/>
            </w:tcBorders>
            <w:vAlign w:val="bottom"/>
          </w:tcPr>
          <w:p w:rsidR="00D247C7" w:rsidRPr="000176E2" w:rsidRDefault="00D247C7" w:rsidP="00DF5E0B">
            <w:pPr>
              <w:widowControl w:val="0"/>
              <w:spacing w:before="120" w:line="480" w:lineRule="auto"/>
              <w:ind w:left="-126" w:right="-124"/>
              <w:jc w:val="center"/>
            </w:pPr>
            <w:r>
              <w:t>.20</w:t>
            </w:r>
          </w:p>
        </w:tc>
        <w:tc>
          <w:tcPr>
            <w:tcW w:w="1060" w:type="dxa"/>
            <w:tcBorders>
              <w:top w:val="single" w:sz="4" w:space="0" w:color="auto"/>
            </w:tcBorders>
            <w:vAlign w:val="bottom"/>
          </w:tcPr>
          <w:p w:rsidR="00D247C7" w:rsidRPr="000176E2" w:rsidRDefault="00D247C7" w:rsidP="00DF5E0B">
            <w:pPr>
              <w:widowControl w:val="0"/>
              <w:tabs>
                <w:tab w:val="decimal" w:pos="286"/>
              </w:tabs>
              <w:spacing w:before="120" w:line="480" w:lineRule="auto"/>
              <w:ind w:left="-92" w:right="-139"/>
            </w:pPr>
            <w:r>
              <w:t>2.56**</w:t>
            </w:r>
          </w:p>
        </w:tc>
        <w:tc>
          <w:tcPr>
            <w:tcW w:w="650" w:type="dxa"/>
            <w:tcBorders>
              <w:top w:val="single" w:sz="4" w:space="0" w:color="auto"/>
            </w:tcBorders>
            <w:vAlign w:val="bottom"/>
          </w:tcPr>
          <w:p w:rsidR="00D247C7" w:rsidRPr="000176E2" w:rsidRDefault="00D247C7" w:rsidP="00DF5E0B">
            <w:pPr>
              <w:widowControl w:val="0"/>
              <w:spacing w:before="120" w:line="480" w:lineRule="auto"/>
              <w:ind w:left="-77"/>
              <w:jc w:val="center"/>
            </w:pPr>
            <w:r>
              <w:t>.19</w:t>
            </w:r>
          </w:p>
        </w:tc>
      </w:tr>
      <w:tr w:rsidR="00D247C7" w:rsidRPr="000176E2" w:rsidTr="00DF5E0B">
        <w:tc>
          <w:tcPr>
            <w:tcW w:w="2988" w:type="dxa"/>
            <w:vAlign w:val="bottom"/>
          </w:tcPr>
          <w:p w:rsidR="00D247C7" w:rsidRPr="000176E2" w:rsidRDefault="00D247C7" w:rsidP="00DF5E0B">
            <w:pPr>
              <w:widowControl w:val="0"/>
              <w:spacing w:line="480" w:lineRule="auto"/>
              <w:ind w:right="-108"/>
            </w:pPr>
            <w:r w:rsidRPr="000176E2">
              <w:t>Age</w:t>
            </w:r>
            <w:r w:rsidRPr="000176E2">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.06**</w:t>
            </w:r>
          </w:p>
        </w:tc>
        <w:tc>
          <w:tcPr>
            <w:tcW w:w="573" w:type="dxa"/>
            <w:vAlign w:val="bottom"/>
          </w:tcPr>
          <w:p w:rsidR="00D247C7" w:rsidRPr="000176E2" w:rsidRDefault="00D247C7" w:rsidP="00DF5E0B">
            <w:pPr>
              <w:widowControl w:val="0"/>
              <w:spacing w:line="480" w:lineRule="auto"/>
              <w:ind w:left="-126" w:right="-124"/>
              <w:jc w:val="center"/>
            </w:pPr>
            <w:r>
              <w:t>.02</w:t>
            </w:r>
          </w:p>
        </w:tc>
        <w:tc>
          <w:tcPr>
            <w:tcW w:w="1060" w:type="dxa"/>
            <w:vAlign w:val="bottom"/>
          </w:tcPr>
          <w:p w:rsidR="00D247C7" w:rsidRPr="000176E2" w:rsidRDefault="00D247C7" w:rsidP="00DF5E0B">
            <w:pPr>
              <w:widowControl w:val="0"/>
              <w:tabs>
                <w:tab w:val="decimal" w:pos="286"/>
              </w:tabs>
              <w:spacing w:line="480" w:lineRule="auto"/>
              <w:ind w:left="-92" w:right="-139"/>
            </w:pPr>
            <w:r>
              <w:t>.12**</w:t>
            </w:r>
          </w:p>
        </w:tc>
        <w:tc>
          <w:tcPr>
            <w:tcW w:w="650" w:type="dxa"/>
            <w:vAlign w:val="bottom"/>
          </w:tcPr>
          <w:p w:rsidR="00D247C7" w:rsidRPr="000176E2" w:rsidRDefault="00D247C7" w:rsidP="00DF5E0B">
            <w:pPr>
              <w:widowControl w:val="0"/>
              <w:spacing w:line="480" w:lineRule="auto"/>
              <w:ind w:left="-77"/>
              <w:jc w:val="center"/>
            </w:pPr>
            <w:r>
              <w:t>.02</w:t>
            </w:r>
          </w:p>
        </w:tc>
      </w:tr>
      <w:tr w:rsidR="00D247C7" w:rsidRPr="000176E2" w:rsidTr="00DF5E0B">
        <w:tc>
          <w:tcPr>
            <w:tcW w:w="2988" w:type="dxa"/>
            <w:vAlign w:val="bottom"/>
          </w:tcPr>
          <w:p w:rsidR="00D247C7" w:rsidRPr="000176E2" w:rsidRDefault="00D247C7" w:rsidP="00DF5E0B">
            <w:pPr>
              <w:widowControl w:val="0"/>
              <w:spacing w:line="480" w:lineRule="auto"/>
              <w:ind w:right="-108"/>
            </w:pPr>
            <w:r>
              <w:t>Education</w:t>
            </w:r>
            <w:r w:rsidRPr="000176E2">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.11**</w:t>
            </w:r>
          </w:p>
        </w:tc>
        <w:tc>
          <w:tcPr>
            <w:tcW w:w="573" w:type="dxa"/>
            <w:vAlign w:val="bottom"/>
          </w:tcPr>
          <w:p w:rsidR="00D247C7" w:rsidRPr="000176E2" w:rsidRDefault="00D247C7" w:rsidP="00DF5E0B">
            <w:pPr>
              <w:widowControl w:val="0"/>
              <w:spacing w:line="480" w:lineRule="auto"/>
              <w:ind w:left="-126" w:right="-124"/>
              <w:jc w:val="center"/>
            </w:pPr>
            <w:r>
              <w:t>.03</w:t>
            </w:r>
          </w:p>
        </w:tc>
        <w:tc>
          <w:tcPr>
            <w:tcW w:w="1060" w:type="dxa"/>
            <w:vAlign w:val="bottom"/>
          </w:tcPr>
          <w:p w:rsidR="00D247C7" w:rsidRPr="000176E2" w:rsidRDefault="00D247C7" w:rsidP="00DF5E0B">
            <w:pPr>
              <w:widowControl w:val="0"/>
              <w:tabs>
                <w:tab w:val="decimal" w:pos="286"/>
              </w:tabs>
              <w:spacing w:line="480" w:lineRule="auto"/>
              <w:ind w:left="-92" w:right="-139"/>
            </w:pPr>
            <w:r>
              <w:t>.08</w:t>
            </w:r>
          </w:p>
        </w:tc>
        <w:tc>
          <w:tcPr>
            <w:tcW w:w="650" w:type="dxa"/>
            <w:vAlign w:val="bottom"/>
          </w:tcPr>
          <w:p w:rsidR="00D247C7" w:rsidRPr="000176E2" w:rsidRDefault="00D247C7" w:rsidP="00DF5E0B">
            <w:pPr>
              <w:widowControl w:val="0"/>
              <w:spacing w:line="480" w:lineRule="auto"/>
              <w:ind w:left="-77"/>
              <w:jc w:val="center"/>
            </w:pPr>
            <w:r>
              <w:t>.04</w:t>
            </w:r>
          </w:p>
        </w:tc>
      </w:tr>
      <w:tr w:rsidR="00D247C7" w:rsidRPr="000176E2" w:rsidTr="00DF5E0B">
        <w:tc>
          <w:tcPr>
            <w:tcW w:w="2988" w:type="dxa"/>
            <w:vAlign w:val="bottom"/>
          </w:tcPr>
          <w:p w:rsidR="00D247C7" w:rsidRPr="000176E2" w:rsidRDefault="00D247C7" w:rsidP="00DF5E0B">
            <w:pPr>
              <w:widowControl w:val="0"/>
              <w:spacing w:line="480" w:lineRule="auto"/>
              <w:ind w:right="-108"/>
            </w:pPr>
            <w:r>
              <w:t>Race</w:t>
            </w:r>
            <w:r>
              <w:rPr>
                <w:vertAlign w:val="superscript"/>
              </w:rPr>
              <w:t>b</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-.54*</w:t>
            </w:r>
          </w:p>
        </w:tc>
        <w:tc>
          <w:tcPr>
            <w:tcW w:w="573" w:type="dxa"/>
            <w:vAlign w:val="bottom"/>
          </w:tcPr>
          <w:p w:rsidR="00D247C7" w:rsidRPr="000176E2" w:rsidRDefault="00D247C7" w:rsidP="00DF5E0B">
            <w:pPr>
              <w:widowControl w:val="0"/>
              <w:spacing w:line="480" w:lineRule="auto"/>
              <w:ind w:left="-126" w:right="-124"/>
              <w:jc w:val="center"/>
            </w:pPr>
            <w:r>
              <w:t>.27</w:t>
            </w:r>
          </w:p>
        </w:tc>
        <w:tc>
          <w:tcPr>
            <w:tcW w:w="1060" w:type="dxa"/>
            <w:vAlign w:val="bottom"/>
          </w:tcPr>
          <w:p w:rsidR="00D247C7" w:rsidRPr="000176E2" w:rsidRDefault="00D247C7" w:rsidP="00DF5E0B">
            <w:pPr>
              <w:widowControl w:val="0"/>
              <w:tabs>
                <w:tab w:val="decimal" w:pos="286"/>
              </w:tabs>
              <w:spacing w:line="480" w:lineRule="auto"/>
              <w:ind w:left="-92" w:right="-139"/>
            </w:pPr>
            <w:r>
              <w:t>-.85**</w:t>
            </w:r>
          </w:p>
        </w:tc>
        <w:tc>
          <w:tcPr>
            <w:tcW w:w="650" w:type="dxa"/>
            <w:vAlign w:val="bottom"/>
          </w:tcPr>
          <w:p w:rsidR="00D247C7" w:rsidRPr="000176E2" w:rsidRDefault="00D247C7" w:rsidP="00DF5E0B">
            <w:pPr>
              <w:widowControl w:val="0"/>
              <w:spacing w:line="480" w:lineRule="auto"/>
              <w:ind w:left="-77"/>
              <w:jc w:val="center"/>
            </w:pPr>
            <w:r>
              <w:t>.26</w:t>
            </w:r>
          </w:p>
        </w:tc>
      </w:tr>
      <w:tr w:rsidR="00D247C7" w:rsidRPr="000176E2" w:rsidTr="00DF5E0B">
        <w:tc>
          <w:tcPr>
            <w:tcW w:w="2988" w:type="dxa"/>
            <w:vAlign w:val="bottom"/>
          </w:tcPr>
          <w:p w:rsidR="00D247C7" w:rsidRPr="000176E2" w:rsidRDefault="00D247C7" w:rsidP="00DF5E0B">
            <w:pPr>
              <w:widowControl w:val="0"/>
              <w:spacing w:line="480" w:lineRule="auto"/>
              <w:ind w:right="-108"/>
            </w:pPr>
            <w:r>
              <w:t>Occupational status</w:t>
            </w:r>
            <w:r w:rsidRPr="000176E2">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-.03*</w:t>
            </w:r>
          </w:p>
        </w:tc>
        <w:tc>
          <w:tcPr>
            <w:tcW w:w="573" w:type="dxa"/>
            <w:vAlign w:val="bottom"/>
          </w:tcPr>
          <w:p w:rsidR="00D247C7" w:rsidRPr="000176E2" w:rsidRDefault="00D247C7" w:rsidP="00DF5E0B">
            <w:pPr>
              <w:widowControl w:val="0"/>
              <w:spacing w:line="480" w:lineRule="auto"/>
              <w:ind w:left="-126" w:right="-124"/>
              <w:jc w:val="center"/>
            </w:pPr>
            <w:r>
              <w:t>.01</w:t>
            </w:r>
          </w:p>
        </w:tc>
        <w:tc>
          <w:tcPr>
            <w:tcW w:w="1060" w:type="dxa"/>
            <w:vAlign w:val="bottom"/>
          </w:tcPr>
          <w:p w:rsidR="00D247C7" w:rsidRPr="000176E2" w:rsidRDefault="00D247C7" w:rsidP="00DF5E0B">
            <w:pPr>
              <w:widowControl w:val="0"/>
              <w:tabs>
                <w:tab w:val="decimal" w:pos="286"/>
              </w:tabs>
              <w:spacing w:line="480" w:lineRule="auto"/>
              <w:ind w:left="-92" w:right="-139"/>
            </w:pPr>
            <w:r>
              <w:t>.01</w:t>
            </w:r>
          </w:p>
        </w:tc>
        <w:tc>
          <w:tcPr>
            <w:tcW w:w="650" w:type="dxa"/>
            <w:vAlign w:val="bottom"/>
          </w:tcPr>
          <w:p w:rsidR="00D247C7" w:rsidRPr="000176E2" w:rsidRDefault="00D247C7" w:rsidP="00DF5E0B">
            <w:pPr>
              <w:widowControl w:val="0"/>
              <w:spacing w:line="480" w:lineRule="auto"/>
              <w:ind w:left="-77"/>
              <w:jc w:val="center"/>
            </w:pPr>
            <w:r>
              <w:t>.03</w:t>
            </w:r>
          </w:p>
        </w:tc>
      </w:tr>
      <w:tr w:rsidR="00D247C7" w:rsidRPr="000176E2" w:rsidTr="00DF5E0B">
        <w:tc>
          <w:tcPr>
            <w:tcW w:w="2988" w:type="dxa"/>
            <w:vAlign w:val="bottom"/>
          </w:tcPr>
          <w:p w:rsidR="00D247C7" w:rsidRDefault="00D247C7" w:rsidP="00DF5E0B">
            <w:pPr>
              <w:widowControl w:val="0"/>
              <w:spacing w:line="480" w:lineRule="auto"/>
              <w:ind w:right="-108"/>
            </w:pPr>
            <w:r>
              <w:t>Spouse occupational status</w:t>
            </w:r>
            <w:r w:rsidRPr="00A13546">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Default="00D247C7" w:rsidP="00DF5E0B">
            <w:pPr>
              <w:widowControl w:val="0"/>
              <w:tabs>
                <w:tab w:val="decimal" w:pos="268"/>
              </w:tabs>
              <w:spacing w:line="480" w:lineRule="auto"/>
              <w:ind w:left="-82" w:right="-90"/>
            </w:pPr>
            <w:r>
              <w:t>.28</w:t>
            </w:r>
          </w:p>
        </w:tc>
        <w:tc>
          <w:tcPr>
            <w:tcW w:w="573" w:type="dxa"/>
            <w:vAlign w:val="bottom"/>
          </w:tcPr>
          <w:p w:rsidR="00D247C7" w:rsidRDefault="00D247C7" w:rsidP="00DF5E0B">
            <w:pPr>
              <w:widowControl w:val="0"/>
              <w:spacing w:line="480" w:lineRule="auto"/>
              <w:ind w:left="-126" w:right="-124"/>
              <w:jc w:val="center"/>
            </w:pPr>
            <w:r>
              <w:t>.18</w:t>
            </w:r>
          </w:p>
        </w:tc>
        <w:tc>
          <w:tcPr>
            <w:tcW w:w="1060" w:type="dxa"/>
            <w:vAlign w:val="bottom"/>
          </w:tcPr>
          <w:p w:rsidR="00D247C7" w:rsidRDefault="00D247C7" w:rsidP="00DF5E0B">
            <w:pPr>
              <w:widowControl w:val="0"/>
              <w:tabs>
                <w:tab w:val="decimal" w:pos="286"/>
              </w:tabs>
              <w:spacing w:line="480" w:lineRule="auto"/>
              <w:ind w:left="-92" w:right="-139"/>
            </w:pPr>
            <w:r>
              <w:t>.87**</w:t>
            </w:r>
          </w:p>
        </w:tc>
        <w:tc>
          <w:tcPr>
            <w:tcW w:w="650" w:type="dxa"/>
            <w:vAlign w:val="bottom"/>
          </w:tcPr>
          <w:p w:rsidR="00D247C7" w:rsidRDefault="00D247C7" w:rsidP="00DF5E0B">
            <w:pPr>
              <w:widowControl w:val="0"/>
              <w:spacing w:line="480" w:lineRule="auto"/>
              <w:ind w:left="-77"/>
              <w:jc w:val="center"/>
            </w:pPr>
            <w:r>
              <w:t>.19</w:t>
            </w:r>
          </w:p>
        </w:tc>
      </w:tr>
      <w:tr w:rsidR="00D247C7" w:rsidRPr="000176E2" w:rsidTr="00DF5E0B">
        <w:tc>
          <w:tcPr>
            <w:tcW w:w="2988" w:type="dxa"/>
            <w:vAlign w:val="bottom"/>
          </w:tcPr>
          <w:p w:rsidR="00D247C7" w:rsidRPr="000176E2" w:rsidRDefault="00D247C7" w:rsidP="00DF5E0B">
            <w:pPr>
              <w:widowControl w:val="0"/>
              <w:spacing w:line="480" w:lineRule="auto"/>
              <w:ind w:right="-108"/>
            </w:pPr>
            <w:r>
              <w:t>Annual i</w:t>
            </w:r>
            <w:r w:rsidRPr="000176E2">
              <w:t>ncome</w:t>
            </w:r>
            <w:r w:rsidRPr="000176E2">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.01**</w:t>
            </w:r>
          </w:p>
        </w:tc>
        <w:tc>
          <w:tcPr>
            <w:tcW w:w="573" w:type="dxa"/>
            <w:vAlign w:val="bottom"/>
          </w:tcPr>
          <w:p w:rsidR="00D247C7" w:rsidRPr="000176E2" w:rsidRDefault="00D247C7" w:rsidP="00DF5E0B">
            <w:pPr>
              <w:widowControl w:val="0"/>
              <w:spacing w:line="480" w:lineRule="auto"/>
              <w:ind w:left="-126" w:right="-124"/>
              <w:jc w:val="center"/>
            </w:pPr>
            <w:r>
              <w:t>.00</w:t>
            </w:r>
          </w:p>
        </w:tc>
        <w:tc>
          <w:tcPr>
            <w:tcW w:w="1060" w:type="dxa"/>
            <w:vAlign w:val="bottom"/>
          </w:tcPr>
          <w:p w:rsidR="00D247C7" w:rsidRPr="000176E2" w:rsidRDefault="00D247C7" w:rsidP="00DF5E0B">
            <w:pPr>
              <w:widowControl w:val="0"/>
              <w:tabs>
                <w:tab w:val="decimal" w:pos="286"/>
              </w:tabs>
              <w:spacing w:line="480" w:lineRule="auto"/>
              <w:ind w:left="-92" w:right="-139"/>
            </w:pPr>
            <w:r>
              <w:t>.01**</w:t>
            </w:r>
          </w:p>
        </w:tc>
        <w:tc>
          <w:tcPr>
            <w:tcW w:w="650" w:type="dxa"/>
            <w:vAlign w:val="bottom"/>
          </w:tcPr>
          <w:p w:rsidR="00D247C7" w:rsidRPr="000176E2" w:rsidRDefault="00D247C7" w:rsidP="00DF5E0B">
            <w:pPr>
              <w:widowControl w:val="0"/>
              <w:spacing w:line="480" w:lineRule="auto"/>
              <w:ind w:left="-77"/>
              <w:jc w:val="center"/>
            </w:pPr>
            <w:r>
              <w:t>.00</w:t>
            </w:r>
          </w:p>
        </w:tc>
      </w:tr>
      <w:tr w:rsidR="00D247C7" w:rsidRPr="000176E2" w:rsidTr="00DF5E0B">
        <w:tc>
          <w:tcPr>
            <w:tcW w:w="2988" w:type="dxa"/>
            <w:vAlign w:val="bottom"/>
          </w:tcPr>
          <w:p w:rsidR="00D247C7" w:rsidRDefault="00D247C7" w:rsidP="00DF5E0B">
            <w:pPr>
              <w:widowControl w:val="0"/>
              <w:spacing w:line="480" w:lineRule="auto"/>
              <w:ind w:right="-108"/>
            </w:pPr>
            <w:r>
              <w:t>Spouse annual income</w:t>
            </w:r>
            <w:r w:rsidRPr="00FE3676">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Default="00D247C7" w:rsidP="00DF5E0B">
            <w:pPr>
              <w:widowControl w:val="0"/>
              <w:tabs>
                <w:tab w:val="decimal" w:pos="268"/>
              </w:tabs>
              <w:spacing w:line="480" w:lineRule="auto"/>
              <w:ind w:left="-82" w:right="-90"/>
            </w:pPr>
            <w:r>
              <w:t>&lt;.01</w:t>
            </w:r>
          </w:p>
        </w:tc>
        <w:tc>
          <w:tcPr>
            <w:tcW w:w="573" w:type="dxa"/>
            <w:vAlign w:val="bottom"/>
          </w:tcPr>
          <w:p w:rsidR="00D247C7" w:rsidRDefault="00D247C7" w:rsidP="00DF5E0B">
            <w:pPr>
              <w:widowControl w:val="0"/>
              <w:spacing w:line="480" w:lineRule="auto"/>
              <w:ind w:left="-126" w:right="-124"/>
              <w:jc w:val="center"/>
            </w:pPr>
            <w:r>
              <w:t>.00</w:t>
            </w:r>
          </w:p>
        </w:tc>
        <w:tc>
          <w:tcPr>
            <w:tcW w:w="1060" w:type="dxa"/>
            <w:vAlign w:val="bottom"/>
          </w:tcPr>
          <w:p w:rsidR="00D247C7" w:rsidRDefault="00D247C7" w:rsidP="00DF5E0B">
            <w:pPr>
              <w:widowControl w:val="0"/>
              <w:tabs>
                <w:tab w:val="decimal" w:pos="286"/>
              </w:tabs>
              <w:spacing w:line="480" w:lineRule="auto"/>
              <w:ind w:left="-92" w:right="-139"/>
            </w:pPr>
            <w:r>
              <w:t>&lt;.01</w:t>
            </w:r>
          </w:p>
        </w:tc>
        <w:tc>
          <w:tcPr>
            <w:tcW w:w="650" w:type="dxa"/>
            <w:vAlign w:val="bottom"/>
          </w:tcPr>
          <w:p w:rsidR="00D247C7" w:rsidRDefault="00D247C7" w:rsidP="00DF5E0B">
            <w:pPr>
              <w:widowControl w:val="0"/>
              <w:spacing w:line="480" w:lineRule="auto"/>
              <w:ind w:left="-77"/>
              <w:jc w:val="center"/>
            </w:pPr>
            <w:r>
              <w:t>.00</w:t>
            </w:r>
          </w:p>
        </w:tc>
      </w:tr>
      <w:tr w:rsidR="00D247C7" w:rsidRPr="000176E2" w:rsidTr="00DF5E0B">
        <w:tc>
          <w:tcPr>
            <w:tcW w:w="2988" w:type="dxa"/>
            <w:vAlign w:val="bottom"/>
          </w:tcPr>
          <w:p w:rsidR="00D247C7" w:rsidRPr="000176E2" w:rsidRDefault="00D247C7" w:rsidP="00DF5E0B">
            <w:pPr>
              <w:widowControl w:val="0"/>
              <w:spacing w:line="480" w:lineRule="auto"/>
              <w:ind w:right="-108"/>
            </w:pPr>
            <w:r>
              <w:t>Couple wealth</w:t>
            </w:r>
            <w:r w:rsidRPr="000176E2">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-&lt;.01</w:t>
            </w:r>
          </w:p>
        </w:tc>
        <w:tc>
          <w:tcPr>
            <w:tcW w:w="573" w:type="dxa"/>
            <w:vAlign w:val="bottom"/>
          </w:tcPr>
          <w:p w:rsidR="00D247C7" w:rsidRPr="000176E2" w:rsidRDefault="00D247C7" w:rsidP="00DF5E0B">
            <w:pPr>
              <w:widowControl w:val="0"/>
              <w:spacing w:line="480" w:lineRule="auto"/>
              <w:ind w:left="-126" w:right="-124"/>
              <w:jc w:val="center"/>
            </w:pPr>
            <w:r>
              <w:t>.00</w:t>
            </w:r>
          </w:p>
        </w:tc>
        <w:tc>
          <w:tcPr>
            <w:tcW w:w="1060" w:type="dxa"/>
            <w:vAlign w:val="bottom"/>
          </w:tcPr>
          <w:p w:rsidR="00D247C7" w:rsidRPr="000176E2" w:rsidRDefault="00D247C7" w:rsidP="00DF5E0B">
            <w:pPr>
              <w:widowControl w:val="0"/>
              <w:tabs>
                <w:tab w:val="decimal" w:pos="286"/>
              </w:tabs>
              <w:spacing w:line="480" w:lineRule="auto"/>
              <w:ind w:left="-92" w:right="-139"/>
            </w:pPr>
            <w:r>
              <w:t>-&lt;.01</w:t>
            </w:r>
          </w:p>
        </w:tc>
        <w:tc>
          <w:tcPr>
            <w:tcW w:w="650" w:type="dxa"/>
            <w:vAlign w:val="bottom"/>
          </w:tcPr>
          <w:p w:rsidR="00D247C7" w:rsidRPr="000176E2" w:rsidRDefault="00D247C7" w:rsidP="00DF5E0B">
            <w:pPr>
              <w:widowControl w:val="0"/>
              <w:spacing w:line="480" w:lineRule="auto"/>
              <w:ind w:left="-77"/>
              <w:jc w:val="center"/>
            </w:pPr>
            <w:r>
              <w:t>.00</w:t>
            </w:r>
          </w:p>
        </w:tc>
      </w:tr>
      <w:tr w:rsidR="00D247C7" w:rsidRPr="000176E2" w:rsidTr="00DF5E0B">
        <w:tc>
          <w:tcPr>
            <w:tcW w:w="2988" w:type="dxa"/>
            <w:vAlign w:val="bottom"/>
          </w:tcPr>
          <w:p w:rsidR="00D247C7" w:rsidRPr="000176E2" w:rsidRDefault="00D247C7" w:rsidP="00DF5E0B">
            <w:pPr>
              <w:widowControl w:val="0"/>
              <w:spacing w:line="480" w:lineRule="auto"/>
              <w:ind w:right="-198"/>
            </w:pPr>
            <w:r>
              <w:t>Couple retirement accounts</w:t>
            </w:r>
            <w:r>
              <w:rPr>
                <w:vertAlign w:val="superscript"/>
              </w:rPr>
              <w:t>a</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&lt;.01*</w:t>
            </w:r>
          </w:p>
        </w:tc>
        <w:tc>
          <w:tcPr>
            <w:tcW w:w="573" w:type="dxa"/>
            <w:vAlign w:val="bottom"/>
          </w:tcPr>
          <w:p w:rsidR="00D247C7" w:rsidRPr="000176E2" w:rsidRDefault="00D247C7" w:rsidP="00DF5E0B">
            <w:pPr>
              <w:widowControl w:val="0"/>
              <w:spacing w:line="480" w:lineRule="auto"/>
              <w:ind w:left="-126" w:right="-124"/>
              <w:jc w:val="center"/>
            </w:pPr>
            <w:r>
              <w:t>.00</w:t>
            </w:r>
          </w:p>
        </w:tc>
        <w:tc>
          <w:tcPr>
            <w:tcW w:w="1060" w:type="dxa"/>
            <w:vAlign w:val="bottom"/>
          </w:tcPr>
          <w:p w:rsidR="00D247C7" w:rsidRPr="000176E2" w:rsidRDefault="00D247C7" w:rsidP="00DF5E0B">
            <w:pPr>
              <w:widowControl w:val="0"/>
              <w:tabs>
                <w:tab w:val="decimal" w:pos="286"/>
              </w:tabs>
              <w:spacing w:line="480" w:lineRule="auto"/>
              <w:ind w:left="-92" w:right="-139"/>
            </w:pPr>
            <w:r>
              <w:t>&lt;.01*</w:t>
            </w:r>
          </w:p>
        </w:tc>
        <w:tc>
          <w:tcPr>
            <w:tcW w:w="650" w:type="dxa"/>
            <w:vAlign w:val="bottom"/>
          </w:tcPr>
          <w:p w:rsidR="00D247C7" w:rsidRPr="000176E2" w:rsidRDefault="00D247C7" w:rsidP="00DF5E0B">
            <w:pPr>
              <w:widowControl w:val="0"/>
              <w:spacing w:line="480" w:lineRule="auto"/>
              <w:ind w:left="-77"/>
              <w:jc w:val="center"/>
            </w:pPr>
            <w:r>
              <w:t>.00</w:t>
            </w:r>
          </w:p>
        </w:tc>
      </w:tr>
      <w:tr w:rsidR="00D247C7" w:rsidRPr="000176E2" w:rsidTr="00DF5E0B">
        <w:tc>
          <w:tcPr>
            <w:tcW w:w="2988" w:type="dxa"/>
            <w:vAlign w:val="bottom"/>
          </w:tcPr>
          <w:p w:rsidR="00D247C7" w:rsidRPr="000176E2" w:rsidRDefault="00D247C7" w:rsidP="00DF5E0B">
            <w:pPr>
              <w:widowControl w:val="0"/>
              <w:spacing w:line="480" w:lineRule="auto"/>
              <w:ind w:right="-108"/>
            </w:pPr>
            <w:r w:rsidRPr="000176E2">
              <w:t>Retirement attitude</w:t>
            </w:r>
            <w:r>
              <w:rPr>
                <w:vertAlign w:val="superscript"/>
              </w:rPr>
              <w:t>c</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1.81*</w:t>
            </w:r>
          </w:p>
        </w:tc>
        <w:tc>
          <w:tcPr>
            <w:tcW w:w="573" w:type="dxa"/>
            <w:vAlign w:val="bottom"/>
          </w:tcPr>
          <w:p w:rsidR="00D247C7" w:rsidRPr="000176E2" w:rsidRDefault="00D247C7" w:rsidP="00DF5E0B">
            <w:pPr>
              <w:widowControl w:val="0"/>
              <w:spacing w:line="480" w:lineRule="auto"/>
              <w:ind w:left="-126" w:right="-124"/>
              <w:jc w:val="center"/>
            </w:pPr>
            <w:r>
              <w:t>.19</w:t>
            </w:r>
          </w:p>
        </w:tc>
        <w:tc>
          <w:tcPr>
            <w:tcW w:w="1060" w:type="dxa"/>
            <w:vAlign w:val="bottom"/>
          </w:tcPr>
          <w:p w:rsidR="00D247C7" w:rsidRPr="000176E2" w:rsidRDefault="00D247C7" w:rsidP="00DF5E0B">
            <w:pPr>
              <w:widowControl w:val="0"/>
              <w:tabs>
                <w:tab w:val="decimal" w:pos="286"/>
              </w:tabs>
              <w:spacing w:line="480" w:lineRule="auto"/>
              <w:ind w:left="-92" w:right="-139"/>
            </w:pPr>
            <w:r>
              <w:t>1.48**</w:t>
            </w:r>
          </w:p>
        </w:tc>
        <w:tc>
          <w:tcPr>
            <w:tcW w:w="650" w:type="dxa"/>
            <w:vAlign w:val="bottom"/>
          </w:tcPr>
          <w:p w:rsidR="00D247C7" w:rsidRPr="000176E2" w:rsidRDefault="00D247C7" w:rsidP="00DF5E0B">
            <w:pPr>
              <w:widowControl w:val="0"/>
              <w:spacing w:line="480" w:lineRule="auto"/>
              <w:ind w:left="-77"/>
              <w:jc w:val="center"/>
            </w:pPr>
            <w:r>
              <w:t>.18</w:t>
            </w:r>
          </w:p>
        </w:tc>
      </w:tr>
      <w:tr w:rsidR="00D247C7" w:rsidRPr="000176E2" w:rsidTr="00DF5E0B">
        <w:tc>
          <w:tcPr>
            <w:tcW w:w="2988" w:type="dxa"/>
            <w:vAlign w:val="bottom"/>
          </w:tcPr>
          <w:p w:rsidR="00D247C7" w:rsidRPr="000176E2" w:rsidRDefault="00D247C7" w:rsidP="00DF5E0B">
            <w:pPr>
              <w:widowControl w:val="0"/>
              <w:spacing w:line="480" w:lineRule="auto"/>
              <w:ind w:right="-108"/>
            </w:pPr>
            <w:r w:rsidRPr="000176E2">
              <w:t>Sp</w:t>
            </w:r>
            <w:r>
              <w:t>ouse</w:t>
            </w:r>
            <w:r w:rsidRPr="000176E2">
              <w:t xml:space="preserve"> retirement attitude</w:t>
            </w:r>
            <w:r>
              <w:rPr>
                <w:vertAlign w:val="superscript"/>
              </w:rPr>
              <w:t>c</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Pr="000176E2" w:rsidRDefault="00D247C7" w:rsidP="00DF5E0B">
            <w:pPr>
              <w:widowControl w:val="0"/>
              <w:tabs>
                <w:tab w:val="decimal" w:pos="268"/>
              </w:tabs>
              <w:spacing w:line="480" w:lineRule="auto"/>
              <w:ind w:left="-82" w:right="-90"/>
            </w:pPr>
            <w:r>
              <w:t>.27</w:t>
            </w:r>
          </w:p>
        </w:tc>
        <w:tc>
          <w:tcPr>
            <w:tcW w:w="573" w:type="dxa"/>
            <w:vAlign w:val="bottom"/>
          </w:tcPr>
          <w:p w:rsidR="00D247C7" w:rsidRPr="000176E2" w:rsidRDefault="00D247C7" w:rsidP="00DF5E0B">
            <w:pPr>
              <w:widowControl w:val="0"/>
              <w:spacing w:line="480" w:lineRule="auto"/>
              <w:ind w:left="-126" w:right="-124"/>
              <w:jc w:val="center"/>
            </w:pPr>
            <w:r>
              <w:t>.18</w:t>
            </w:r>
          </w:p>
        </w:tc>
        <w:tc>
          <w:tcPr>
            <w:tcW w:w="1060" w:type="dxa"/>
            <w:vAlign w:val="bottom"/>
          </w:tcPr>
          <w:p w:rsidR="00D247C7" w:rsidRPr="000176E2" w:rsidRDefault="00D247C7" w:rsidP="00DF5E0B">
            <w:pPr>
              <w:widowControl w:val="0"/>
              <w:tabs>
                <w:tab w:val="decimal" w:pos="286"/>
              </w:tabs>
              <w:spacing w:line="480" w:lineRule="auto"/>
              <w:ind w:left="-92" w:right="-139"/>
            </w:pPr>
            <w:r>
              <w:t>.91**</w:t>
            </w:r>
          </w:p>
        </w:tc>
        <w:tc>
          <w:tcPr>
            <w:tcW w:w="650" w:type="dxa"/>
            <w:vAlign w:val="bottom"/>
          </w:tcPr>
          <w:p w:rsidR="00D247C7" w:rsidRPr="000176E2" w:rsidRDefault="00D247C7" w:rsidP="00DF5E0B">
            <w:pPr>
              <w:widowControl w:val="0"/>
              <w:spacing w:line="480" w:lineRule="auto"/>
              <w:ind w:left="-77"/>
              <w:jc w:val="center"/>
            </w:pPr>
            <w:r>
              <w:t>.19</w:t>
            </w:r>
          </w:p>
        </w:tc>
      </w:tr>
      <w:tr w:rsidR="00D247C7" w:rsidRPr="000176E2" w:rsidTr="00DF5E0B">
        <w:tc>
          <w:tcPr>
            <w:tcW w:w="2988" w:type="dxa"/>
            <w:vAlign w:val="bottom"/>
          </w:tcPr>
          <w:p w:rsidR="00D247C7" w:rsidRPr="000176E2" w:rsidRDefault="00D247C7" w:rsidP="00DF5E0B">
            <w:pPr>
              <w:widowControl w:val="0"/>
              <w:spacing w:line="480" w:lineRule="auto"/>
              <w:ind w:right="-108"/>
            </w:pPr>
            <w:r>
              <w:t>CES-D</w:t>
            </w:r>
            <w:r w:rsidRPr="00FE3676">
              <w:rPr>
                <w:vertAlign w:val="superscript"/>
              </w:rPr>
              <w:t>a</w:t>
            </w:r>
            <w:r>
              <w:rPr>
                <w:vertAlign w:val="superscript"/>
              </w:rPr>
              <w:t>,d</w:t>
            </w:r>
          </w:p>
        </w:tc>
        <w:tc>
          <w:tcPr>
            <w:tcW w:w="1026" w:type="dxa"/>
          </w:tcPr>
          <w:p w:rsidR="00D247C7" w:rsidRPr="000176E2" w:rsidRDefault="00D247C7" w:rsidP="00DF5E0B">
            <w:pPr>
              <w:widowControl w:val="0"/>
              <w:spacing w:line="480" w:lineRule="auto"/>
              <w:ind w:left="-51" w:right="-108"/>
              <w:jc w:val="center"/>
            </w:pPr>
          </w:p>
        </w:tc>
        <w:tc>
          <w:tcPr>
            <w:tcW w:w="594" w:type="dxa"/>
          </w:tcPr>
          <w:p w:rsidR="00D247C7" w:rsidRPr="000176E2" w:rsidRDefault="00D247C7" w:rsidP="00DF5E0B">
            <w:pPr>
              <w:widowControl w:val="0"/>
              <w:spacing w:line="480" w:lineRule="auto"/>
              <w:ind w:left="-51" w:right="-108"/>
              <w:jc w:val="center"/>
            </w:pPr>
          </w:p>
        </w:tc>
        <w:tc>
          <w:tcPr>
            <w:tcW w:w="1023" w:type="dxa"/>
          </w:tcPr>
          <w:p w:rsidR="00D247C7" w:rsidRPr="000176E2" w:rsidRDefault="00D247C7" w:rsidP="00DF5E0B">
            <w:pPr>
              <w:widowControl w:val="0"/>
              <w:spacing w:line="480" w:lineRule="auto"/>
              <w:ind w:left="-51" w:right="-108"/>
              <w:jc w:val="center"/>
            </w:pPr>
          </w:p>
        </w:tc>
        <w:tc>
          <w:tcPr>
            <w:tcW w:w="687" w:type="dxa"/>
          </w:tcPr>
          <w:p w:rsidR="00D247C7" w:rsidRPr="000176E2" w:rsidRDefault="00D247C7" w:rsidP="00DF5E0B">
            <w:pPr>
              <w:widowControl w:val="0"/>
              <w:spacing w:line="480" w:lineRule="auto"/>
              <w:ind w:left="-51" w:right="-108"/>
              <w:jc w:val="center"/>
            </w:pPr>
          </w:p>
        </w:tc>
        <w:tc>
          <w:tcPr>
            <w:tcW w:w="1060" w:type="dxa"/>
            <w:vAlign w:val="bottom"/>
          </w:tcPr>
          <w:p w:rsidR="00D247C7" w:rsidRDefault="00D247C7" w:rsidP="00DF5E0B">
            <w:pPr>
              <w:widowControl w:val="0"/>
              <w:tabs>
                <w:tab w:val="decimal" w:pos="268"/>
              </w:tabs>
              <w:spacing w:line="480" w:lineRule="auto"/>
              <w:ind w:left="-82" w:right="-90"/>
            </w:pPr>
            <w:r>
              <w:t>.08**</w:t>
            </w:r>
          </w:p>
        </w:tc>
        <w:tc>
          <w:tcPr>
            <w:tcW w:w="573" w:type="dxa"/>
            <w:vAlign w:val="bottom"/>
          </w:tcPr>
          <w:p w:rsidR="00D247C7" w:rsidRDefault="00D247C7" w:rsidP="00DF5E0B">
            <w:pPr>
              <w:widowControl w:val="0"/>
              <w:spacing w:line="480" w:lineRule="auto"/>
              <w:ind w:left="-126" w:right="-124"/>
              <w:jc w:val="center"/>
            </w:pPr>
            <w:r>
              <w:t>.03</w:t>
            </w:r>
          </w:p>
        </w:tc>
        <w:tc>
          <w:tcPr>
            <w:tcW w:w="1060" w:type="dxa"/>
            <w:vAlign w:val="bottom"/>
          </w:tcPr>
          <w:p w:rsidR="00D247C7" w:rsidRDefault="00D247C7" w:rsidP="00DF5E0B">
            <w:pPr>
              <w:widowControl w:val="0"/>
              <w:tabs>
                <w:tab w:val="decimal" w:pos="286"/>
              </w:tabs>
              <w:spacing w:line="480" w:lineRule="auto"/>
              <w:ind w:left="-92" w:right="-139"/>
            </w:pPr>
            <w:r>
              <w:t>.01</w:t>
            </w:r>
          </w:p>
        </w:tc>
        <w:tc>
          <w:tcPr>
            <w:tcW w:w="650" w:type="dxa"/>
            <w:vAlign w:val="bottom"/>
          </w:tcPr>
          <w:p w:rsidR="00D247C7" w:rsidRDefault="00D247C7" w:rsidP="00DF5E0B">
            <w:pPr>
              <w:widowControl w:val="0"/>
              <w:spacing w:line="480" w:lineRule="auto"/>
              <w:ind w:left="-77"/>
              <w:jc w:val="center"/>
            </w:pPr>
            <w:r>
              <w:t>.03</w:t>
            </w:r>
          </w:p>
        </w:tc>
      </w:tr>
      <w:tr w:rsidR="00D247C7" w:rsidRPr="000176E2" w:rsidTr="00DF5E0B">
        <w:tc>
          <w:tcPr>
            <w:tcW w:w="2988" w:type="dxa"/>
            <w:tcBorders>
              <w:bottom w:val="single" w:sz="4" w:space="0" w:color="auto"/>
            </w:tcBorders>
            <w:vAlign w:val="bottom"/>
          </w:tcPr>
          <w:p w:rsidR="00D247C7" w:rsidRPr="000176E2" w:rsidRDefault="00D247C7" w:rsidP="00DF5E0B">
            <w:pPr>
              <w:widowControl w:val="0"/>
              <w:spacing w:line="480" w:lineRule="auto"/>
              <w:ind w:right="-108"/>
            </w:pPr>
            <w:r>
              <w:t>Health limits paid work</w:t>
            </w:r>
            <w:r>
              <w:rPr>
                <w:vertAlign w:val="superscript"/>
              </w:rPr>
              <w:t>e</w:t>
            </w:r>
          </w:p>
        </w:tc>
        <w:tc>
          <w:tcPr>
            <w:tcW w:w="1026" w:type="dxa"/>
            <w:tcBorders>
              <w:bottom w:val="single" w:sz="4" w:space="0" w:color="auto"/>
            </w:tcBorders>
          </w:tcPr>
          <w:p w:rsidR="00D247C7" w:rsidRPr="000176E2" w:rsidRDefault="00D247C7" w:rsidP="00DF5E0B">
            <w:pPr>
              <w:widowControl w:val="0"/>
              <w:spacing w:line="480" w:lineRule="auto"/>
              <w:ind w:left="-51" w:right="-108"/>
              <w:jc w:val="center"/>
            </w:pPr>
          </w:p>
        </w:tc>
        <w:tc>
          <w:tcPr>
            <w:tcW w:w="594" w:type="dxa"/>
            <w:tcBorders>
              <w:bottom w:val="single" w:sz="4" w:space="0" w:color="auto"/>
            </w:tcBorders>
          </w:tcPr>
          <w:p w:rsidR="00D247C7" w:rsidRPr="000176E2" w:rsidRDefault="00D247C7" w:rsidP="00DF5E0B">
            <w:pPr>
              <w:widowControl w:val="0"/>
              <w:spacing w:line="480" w:lineRule="auto"/>
              <w:ind w:left="-51" w:right="-108"/>
              <w:jc w:val="center"/>
            </w:pPr>
          </w:p>
        </w:tc>
        <w:tc>
          <w:tcPr>
            <w:tcW w:w="1023" w:type="dxa"/>
            <w:tcBorders>
              <w:bottom w:val="single" w:sz="4" w:space="0" w:color="auto"/>
            </w:tcBorders>
          </w:tcPr>
          <w:p w:rsidR="00D247C7" w:rsidRPr="000176E2" w:rsidRDefault="00D247C7" w:rsidP="00DF5E0B">
            <w:pPr>
              <w:widowControl w:val="0"/>
              <w:spacing w:line="480" w:lineRule="auto"/>
              <w:ind w:left="-51" w:right="-108"/>
              <w:jc w:val="center"/>
            </w:pPr>
          </w:p>
        </w:tc>
        <w:tc>
          <w:tcPr>
            <w:tcW w:w="687" w:type="dxa"/>
            <w:tcBorders>
              <w:bottom w:val="single" w:sz="4" w:space="0" w:color="auto"/>
            </w:tcBorders>
          </w:tcPr>
          <w:p w:rsidR="00D247C7" w:rsidRPr="000176E2" w:rsidRDefault="00D247C7" w:rsidP="00DF5E0B">
            <w:pPr>
              <w:widowControl w:val="0"/>
              <w:spacing w:line="480" w:lineRule="auto"/>
              <w:ind w:left="-51" w:right="-108"/>
              <w:jc w:val="center"/>
            </w:pPr>
          </w:p>
        </w:tc>
        <w:tc>
          <w:tcPr>
            <w:tcW w:w="1060" w:type="dxa"/>
            <w:tcBorders>
              <w:bottom w:val="single" w:sz="4" w:space="0" w:color="auto"/>
            </w:tcBorders>
            <w:vAlign w:val="bottom"/>
          </w:tcPr>
          <w:p w:rsidR="00D247C7" w:rsidRPr="000176E2" w:rsidRDefault="00D247C7" w:rsidP="00DF5E0B">
            <w:pPr>
              <w:widowControl w:val="0"/>
              <w:tabs>
                <w:tab w:val="decimal" w:pos="268"/>
              </w:tabs>
              <w:spacing w:line="480" w:lineRule="auto"/>
              <w:ind w:left="-82" w:right="-90"/>
            </w:pPr>
            <w:r>
              <w:t>.42</w:t>
            </w:r>
          </w:p>
        </w:tc>
        <w:tc>
          <w:tcPr>
            <w:tcW w:w="573" w:type="dxa"/>
            <w:tcBorders>
              <w:bottom w:val="single" w:sz="4" w:space="0" w:color="auto"/>
            </w:tcBorders>
            <w:vAlign w:val="bottom"/>
          </w:tcPr>
          <w:p w:rsidR="00D247C7" w:rsidRPr="000176E2" w:rsidRDefault="00D247C7" w:rsidP="00DF5E0B">
            <w:pPr>
              <w:widowControl w:val="0"/>
              <w:spacing w:line="480" w:lineRule="auto"/>
              <w:ind w:left="-126" w:right="-124"/>
              <w:jc w:val="center"/>
            </w:pPr>
            <w:r>
              <w:t>.26</w:t>
            </w:r>
          </w:p>
        </w:tc>
        <w:tc>
          <w:tcPr>
            <w:tcW w:w="1060" w:type="dxa"/>
            <w:tcBorders>
              <w:bottom w:val="single" w:sz="4" w:space="0" w:color="auto"/>
            </w:tcBorders>
            <w:vAlign w:val="bottom"/>
          </w:tcPr>
          <w:p w:rsidR="00D247C7" w:rsidRPr="000176E2" w:rsidRDefault="00D247C7" w:rsidP="00DF5E0B">
            <w:pPr>
              <w:widowControl w:val="0"/>
              <w:tabs>
                <w:tab w:val="decimal" w:pos="286"/>
              </w:tabs>
              <w:spacing w:line="480" w:lineRule="auto"/>
              <w:ind w:left="-92" w:right="-139"/>
            </w:pPr>
            <w:r>
              <w:t>.82**</w:t>
            </w:r>
          </w:p>
        </w:tc>
        <w:tc>
          <w:tcPr>
            <w:tcW w:w="650" w:type="dxa"/>
            <w:tcBorders>
              <w:bottom w:val="single" w:sz="4" w:space="0" w:color="auto"/>
            </w:tcBorders>
            <w:vAlign w:val="bottom"/>
          </w:tcPr>
          <w:p w:rsidR="00D247C7" w:rsidRPr="000176E2" w:rsidRDefault="00D247C7" w:rsidP="00DF5E0B">
            <w:pPr>
              <w:widowControl w:val="0"/>
              <w:spacing w:line="480" w:lineRule="auto"/>
              <w:ind w:left="-77"/>
              <w:jc w:val="center"/>
            </w:pPr>
            <w:r>
              <w:t>.31</w:t>
            </w:r>
          </w:p>
        </w:tc>
      </w:tr>
      <w:tr w:rsidR="00D247C7" w:rsidRPr="000176E2" w:rsidTr="00DF5E0B">
        <w:tc>
          <w:tcPr>
            <w:tcW w:w="2988" w:type="dxa"/>
            <w:tcBorders>
              <w:top w:val="single" w:sz="4" w:space="0" w:color="auto"/>
            </w:tcBorders>
            <w:vAlign w:val="bottom"/>
          </w:tcPr>
          <w:p w:rsidR="00D247C7" w:rsidRPr="000176E2" w:rsidRDefault="00D247C7" w:rsidP="00DF5E0B">
            <w:pPr>
              <w:widowControl w:val="0"/>
              <w:spacing w:before="120" w:line="480" w:lineRule="auto"/>
              <w:ind w:right="-51"/>
            </w:pPr>
            <w:r w:rsidRPr="000176E2">
              <w:t xml:space="preserve">Random effects </w:t>
            </w:r>
          </w:p>
        </w:tc>
        <w:tc>
          <w:tcPr>
            <w:tcW w:w="1026" w:type="dxa"/>
            <w:tcBorders>
              <w:top w:val="single" w:sz="4" w:space="0" w:color="auto"/>
            </w:tcBorders>
          </w:tcPr>
          <w:p w:rsidR="00D247C7" w:rsidRPr="000176E2" w:rsidRDefault="00D247C7" w:rsidP="00DF5E0B">
            <w:pPr>
              <w:widowControl w:val="0"/>
              <w:spacing w:before="120" w:line="480" w:lineRule="auto"/>
              <w:ind w:left="-51" w:right="-108"/>
              <w:jc w:val="center"/>
            </w:pPr>
            <w:r>
              <w:t>6.44</w:t>
            </w:r>
            <w:r w:rsidRPr="000176E2">
              <w:t>**</w:t>
            </w:r>
          </w:p>
        </w:tc>
        <w:tc>
          <w:tcPr>
            <w:tcW w:w="594" w:type="dxa"/>
            <w:tcBorders>
              <w:top w:val="single" w:sz="4" w:space="0" w:color="auto"/>
            </w:tcBorders>
          </w:tcPr>
          <w:p w:rsidR="00D247C7" w:rsidRPr="000176E2" w:rsidRDefault="00D247C7" w:rsidP="00DF5E0B">
            <w:pPr>
              <w:widowControl w:val="0"/>
              <w:spacing w:before="120" w:line="480" w:lineRule="auto"/>
              <w:ind w:left="-51" w:right="-108"/>
              <w:jc w:val="center"/>
            </w:pPr>
            <w:r>
              <w:t>2.54</w:t>
            </w:r>
          </w:p>
        </w:tc>
        <w:tc>
          <w:tcPr>
            <w:tcW w:w="1023" w:type="dxa"/>
            <w:tcBorders>
              <w:top w:val="single" w:sz="4" w:space="0" w:color="auto"/>
            </w:tcBorders>
          </w:tcPr>
          <w:p w:rsidR="00D247C7" w:rsidRPr="000176E2" w:rsidRDefault="00D247C7" w:rsidP="00DF5E0B">
            <w:pPr>
              <w:widowControl w:val="0"/>
              <w:spacing w:before="120" w:line="480" w:lineRule="auto"/>
              <w:ind w:left="-51" w:right="-108"/>
              <w:jc w:val="center"/>
            </w:pPr>
            <w:r>
              <w:t>6.92**</w:t>
            </w:r>
          </w:p>
        </w:tc>
        <w:tc>
          <w:tcPr>
            <w:tcW w:w="687" w:type="dxa"/>
            <w:tcBorders>
              <w:top w:val="single" w:sz="4" w:space="0" w:color="auto"/>
            </w:tcBorders>
          </w:tcPr>
          <w:p w:rsidR="00D247C7" w:rsidRPr="000176E2" w:rsidRDefault="00D247C7" w:rsidP="00DF5E0B">
            <w:pPr>
              <w:widowControl w:val="0"/>
              <w:spacing w:before="120" w:line="480" w:lineRule="auto"/>
              <w:ind w:left="-51" w:right="-108"/>
              <w:jc w:val="center"/>
            </w:pPr>
            <w:r>
              <w:t>2.63</w:t>
            </w:r>
          </w:p>
        </w:tc>
        <w:tc>
          <w:tcPr>
            <w:tcW w:w="1060" w:type="dxa"/>
            <w:tcBorders>
              <w:top w:val="single" w:sz="4" w:space="0" w:color="auto"/>
            </w:tcBorders>
          </w:tcPr>
          <w:p w:rsidR="00D247C7" w:rsidRPr="000176E2" w:rsidRDefault="00D247C7" w:rsidP="00DF5E0B">
            <w:pPr>
              <w:widowControl w:val="0"/>
              <w:tabs>
                <w:tab w:val="decimal" w:pos="268"/>
              </w:tabs>
              <w:spacing w:before="120" w:line="480" w:lineRule="auto"/>
              <w:ind w:left="-82" w:right="-90"/>
            </w:pPr>
            <w:r>
              <w:t>5.29**</w:t>
            </w:r>
          </w:p>
        </w:tc>
        <w:tc>
          <w:tcPr>
            <w:tcW w:w="573" w:type="dxa"/>
            <w:tcBorders>
              <w:top w:val="single" w:sz="4" w:space="0" w:color="auto"/>
            </w:tcBorders>
          </w:tcPr>
          <w:p w:rsidR="00D247C7" w:rsidRPr="000176E2" w:rsidRDefault="00D247C7" w:rsidP="00DF5E0B">
            <w:pPr>
              <w:widowControl w:val="0"/>
              <w:spacing w:before="120" w:line="480" w:lineRule="auto"/>
              <w:ind w:left="-126" w:right="-124"/>
              <w:jc w:val="center"/>
            </w:pPr>
            <w:r>
              <w:t>2.30</w:t>
            </w:r>
          </w:p>
        </w:tc>
        <w:tc>
          <w:tcPr>
            <w:tcW w:w="1060" w:type="dxa"/>
            <w:tcBorders>
              <w:top w:val="single" w:sz="4" w:space="0" w:color="auto"/>
            </w:tcBorders>
          </w:tcPr>
          <w:p w:rsidR="00D247C7" w:rsidRPr="000176E2" w:rsidRDefault="00D247C7" w:rsidP="00DF5E0B">
            <w:pPr>
              <w:widowControl w:val="0"/>
              <w:tabs>
                <w:tab w:val="decimal" w:pos="286"/>
              </w:tabs>
              <w:spacing w:before="120" w:line="480" w:lineRule="auto"/>
              <w:ind w:left="-92" w:right="-139"/>
            </w:pPr>
            <w:r>
              <w:t>5.61**</w:t>
            </w:r>
          </w:p>
        </w:tc>
        <w:tc>
          <w:tcPr>
            <w:tcW w:w="650" w:type="dxa"/>
            <w:tcBorders>
              <w:top w:val="single" w:sz="4" w:space="0" w:color="auto"/>
            </w:tcBorders>
          </w:tcPr>
          <w:p w:rsidR="00D247C7" w:rsidRPr="000176E2" w:rsidRDefault="00D247C7" w:rsidP="00DF5E0B">
            <w:pPr>
              <w:widowControl w:val="0"/>
              <w:spacing w:before="120" w:line="480" w:lineRule="auto"/>
              <w:ind w:left="-77"/>
              <w:jc w:val="center"/>
            </w:pPr>
            <w:r>
              <w:t>2.37</w:t>
            </w:r>
          </w:p>
        </w:tc>
      </w:tr>
      <w:tr w:rsidR="00D247C7" w:rsidRPr="000176E2" w:rsidTr="00DF5E0B">
        <w:tc>
          <w:tcPr>
            <w:tcW w:w="2988" w:type="dxa"/>
            <w:vAlign w:val="bottom"/>
          </w:tcPr>
          <w:p w:rsidR="00D247C7" w:rsidRPr="000176E2" w:rsidRDefault="00D247C7" w:rsidP="00DF5E0B">
            <w:pPr>
              <w:widowControl w:val="0"/>
              <w:spacing w:line="480" w:lineRule="auto"/>
            </w:pPr>
            <w:r w:rsidRPr="000176E2">
              <w:t>Estimated parameters</w:t>
            </w:r>
          </w:p>
        </w:tc>
        <w:tc>
          <w:tcPr>
            <w:tcW w:w="3330" w:type="dxa"/>
            <w:gridSpan w:val="4"/>
          </w:tcPr>
          <w:p w:rsidR="00D247C7" w:rsidRPr="000176E2" w:rsidRDefault="00D247C7" w:rsidP="00DF5E0B">
            <w:pPr>
              <w:widowControl w:val="0"/>
              <w:spacing w:line="480" w:lineRule="auto"/>
              <w:ind w:left="-51" w:right="-108"/>
              <w:jc w:val="center"/>
            </w:pPr>
            <w:r>
              <w:t>5</w:t>
            </w:r>
          </w:p>
        </w:tc>
        <w:tc>
          <w:tcPr>
            <w:tcW w:w="3343" w:type="dxa"/>
            <w:gridSpan w:val="4"/>
          </w:tcPr>
          <w:p w:rsidR="00D247C7" w:rsidRPr="000176E2" w:rsidRDefault="00D247C7" w:rsidP="00DF5E0B">
            <w:pPr>
              <w:widowControl w:val="0"/>
              <w:spacing w:line="480" w:lineRule="auto"/>
              <w:ind w:left="-77"/>
              <w:jc w:val="center"/>
            </w:pPr>
            <w:r>
              <w:t>29</w:t>
            </w:r>
          </w:p>
        </w:tc>
      </w:tr>
      <w:tr w:rsidR="00D247C7" w:rsidRPr="000176E2" w:rsidTr="00DF5E0B">
        <w:tc>
          <w:tcPr>
            <w:tcW w:w="2988" w:type="dxa"/>
            <w:vAlign w:val="bottom"/>
          </w:tcPr>
          <w:p w:rsidR="00D247C7" w:rsidRPr="000176E2" w:rsidRDefault="00D247C7" w:rsidP="00DF5E0B">
            <w:pPr>
              <w:widowControl w:val="0"/>
              <w:spacing w:line="480" w:lineRule="auto"/>
            </w:pPr>
            <w:r w:rsidRPr="000176E2">
              <w:t>Deviance statistic</w:t>
            </w:r>
          </w:p>
        </w:tc>
        <w:tc>
          <w:tcPr>
            <w:tcW w:w="3330" w:type="dxa"/>
            <w:gridSpan w:val="4"/>
          </w:tcPr>
          <w:p w:rsidR="00D247C7" w:rsidRPr="000176E2" w:rsidRDefault="00D247C7" w:rsidP="00DF5E0B">
            <w:pPr>
              <w:widowControl w:val="0"/>
              <w:spacing w:line="480" w:lineRule="auto"/>
              <w:ind w:left="-51" w:right="-108"/>
              <w:jc w:val="center"/>
            </w:pPr>
            <w:r>
              <w:t>9231.43</w:t>
            </w:r>
          </w:p>
        </w:tc>
        <w:tc>
          <w:tcPr>
            <w:tcW w:w="3343" w:type="dxa"/>
            <w:gridSpan w:val="4"/>
          </w:tcPr>
          <w:p w:rsidR="00D247C7" w:rsidRPr="000176E2" w:rsidRDefault="00D247C7" w:rsidP="00DF5E0B">
            <w:pPr>
              <w:widowControl w:val="0"/>
              <w:spacing w:line="480" w:lineRule="auto"/>
              <w:ind w:left="-77"/>
              <w:jc w:val="center"/>
            </w:pPr>
            <w:r>
              <w:t>8939.90</w:t>
            </w:r>
          </w:p>
        </w:tc>
      </w:tr>
      <w:tr w:rsidR="00D247C7" w:rsidRPr="000176E2" w:rsidTr="00DF5E0B">
        <w:tc>
          <w:tcPr>
            <w:tcW w:w="2988" w:type="dxa"/>
            <w:tcBorders>
              <w:bottom w:val="single" w:sz="12" w:space="0" w:color="auto"/>
            </w:tcBorders>
            <w:vAlign w:val="bottom"/>
          </w:tcPr>
          <w:p w:rsidR="00D247C7" w:rsidRPr="000176E2" w:rsidRDefault="00D247C7" w:rsidP="00DF5E0B">
            <w:pPr>
              <w:widowControl w:val="0"/>
              <w:spacing w:line="480" w:lineRule="auto"/>
            </w:pPr>
            <w:r w:rsidRPr="000176E2">
              <w:lastRenderedPageBreak/>
              <w:t>χ</w:t>
            </w:r>
            <w:r w:rsidRPr="000176E2">
              <w:rPr>
                <w:vertAlign w:val="superscript"/>
              </w:rPr>
              <w:t>2</w:t>
            </w:r>
          </w:p>
        </w:tc>
        <w:tc>
          <w:tcPr>
            <w:tcW w:w="1026" w:type="dxa"/>
            <w:tcBorders>
              <w:bottom w:val="single" w:sz="12" w:space="0" w:color="auto"/>
            </w:tcBorders>
          </w:tcPr>
          <w:p w:rsidR="00D247C7" w:rsidRPr="000176E2" w:rsidRDefault="00D247C7" w:rsidP="00DF5E0B">
            <w:pPr>
              <w:widowControl w:val="0"/>
              <w:tabs>
                <w:tab w:val="decimal" w:pos="405"/>
              </w:tabs>
              <w:spacing w:line="480" w:lineRule="auto"/>
              <w:ind w:left="-51" w:right="-108"/>
            </w:pPr>
          </w:p>
        </w:tc>
        <w:tc>
          <w:tcPr>
            <w:tcW w:w="594" w:type="dxa"/>
            <w:tcBorders>
              <w:bottom w:val="single" w:sz="12" w:space="0" w:color="auto"/>
            </w:tcBorders>
          </w:tcPr>
          <w:p w:rsidR="00D247C7" w:rsidRPr="000176E2" w:rsidRDefault="00D247C7" w:rsidP="00DF5E0B">
            <w:pPr>
              <w:widowControl w:val="0"/>
              <w:spacing w:line="480" w:lineRule="auto"/>
              <w:ind w:left="-51" w:right="-108"/>
            </w:pPr>
          </w:p>
        </w:tc>
        <w:tc>
          <w:tcPr>
            <w:tcW w:w="1023" w:type="dxa"/>
            <w:tcBorders>
              <w:bottom w:val="single" w:sz="12" w:space="0" w:color="auto"/>
            </w:tcBorders>
          </w:tcPr>
          <w:p w:rsidR="00D247C7" w:rsidRPr="000176E2" w:rsidRDefault="00D247C7" w:rsidP="00DF5E0B">
            <w:pPr>
              <w:widowControl w:val="0"/>
              <w:spacing w:line="480" w:lineRule="auto"/>
              <w:ind w:left="-51" w:right="-108"/>
            </w:pPr>
            <w:r>
              <w:t>--</w:t>
            </w:r>
          </w:p>
        </w:tc>
        <w:tc>
          <w:tcPr>
            <w:tcW w:w="687" w:type="dxa"/>
            <w:tcBorders>
              <w:bottom w:val="single" w:sz="12" w:space="0" w:color="auto"/>
            </w:tcBorders>
          </w:tcPr>
          <w:p w:rsidR="00D247C7" w:rsidRPr="000176E2" w:rsidRDefault="00D247C7" w:rsidP="00DF5E0B">
            <w:pPr>
              <w:widowControl w:val="0"/>
              <w:spacing w:line="480" w:lineRule="auto"/>
              <w:ind w:left="-51" w:right="-108"/>
            </w:pPr>
          </w:p>
        </w:tc>
        <w:tc>
          <w:tcPr>
            <w:tcW w:w="3343" w:type="dxa"/>
            <w:gridSpan w:val="4"/>
            <w:tcBorders>
              <w:bottom w:val="single" w:sz="12" w:space="0" w:color="auto"/>
            </w:tcBorders>
          </w:tcPr>
          <w:p w:rsidR="00D247C7" w:rsidRPr="000176E2" w:rsidRDefault="00D247C7" w:rsidP="00DF5E0B">
            <w:pPr>
              <w:widowControl w:val="0"/>
              <w:spacing w:line="480" w:lineRule="auto"/>
              <w:ind w:left="-77"/>
              <w:jc w:val="center"/>
            </w:pPr>
            <w:r>
              <w:t>291.53**</w:t>
            </w:r>
          </w:p>
        </w:tc>
      </w:tr>
    </w:tbl>
    <w:p w:rsidR="00D247C7" w:rsidRPr="000176E2" w:rsidRDefault="00D247C7" w:rsidP="00D247C7">
      <w:pPr>
        <w:widowControl w:val="0"/>
        <w:spacing w:before="120" w:line="480" w:lineRule="auto"/>
        <w:ind w:right="-360"/>
      </w:pPr>
      <w:r w:rsidRPr="000176E2">
        <w:rPr>
          <w:i/>
        </w:rPr>
        <w:t>Note</w:t>
      </w:r>
      <w:r>
        <w:rPr>
          <w:i/>
        </w:rPr>
        <w:t>s</w:t>
      </w:r>
      <w:r w:rsidRPr="000176E2">
        <w:t xml:space="preserve">. </w:t>
      </w:r>
      <w:r w:rsidRPr="000176E2">
        <w:rPr>
          <w:vertAlign w:val="superscript"/>
        </w:rPr>
        <w:t>a</w:t>
      </w:r>
      <w:r w:rsidRPr="000176E2">
        <w:t xml:space="preserve">Centered, </w:t>
      </w:r>
      <w:r w:rsidRPr="000176E2">
        <w:rPr>
          <w:vertAlign w:val="superscript"/>
        </w:rPr>
        <w:t>b</w:t>
      </w:r>
      <w:r w:rsidRPr="000176E2">
        <w:t xml:space="preserve">1=Black, </w:t>
      </w:r>
      <w:r>
        <w:rPr>
          <w:vertAlign w:val="superscript"/>
        </w:rPr>
        <w:t>c</w:t>
      </w:r>
      <w:r>
        <w:t>1</w:t>
      </w:r>
      <w:r w:rsidRPr="000176E2">
        <w:t>=looking forward to retirement</w:t>
      </w:r>
      <w:r>
        <w:t xml:space="preserve">, </w:t>
      </w:r>
      <w:r>
        <w:rPr>
          <w:vertAlign w:val="superscript"/>
        </w:rPr>
        <w:t>d</w:t>
      </w:r>
      <w:r>
        <w:t xml:space="preserve">CES-D=Centers for Epidemiologic Studies Depression Scale (Radloff, 1977), </w:t>
      </w:r>
      <w:r>
        <w:rPr>
          <w:vertAlign w:val="superscript"/>
        </w:rPr>
        <w:t>e</w:t>
      </w:r>
      <w:r>
        <w:t>yes</w:t>
      </w:r>
      <w:r w:rsidRPr="000176E2">
        <w:t xml:space="preserve">. </w:t>
      </w:r>
      <w:r>
        <w:br/>
        <w:t xml:space="preserve">* </w:t>
      </w:r>
      <w:r w:rsidRPr="00F90344">
        <w:rPr>
          <w:i/>
        </w:rPr>
        <w:t>p</w:t>
      </w:r>
      <w:r>
        <w:t xml:space="preserve"> &lt; .05. </w:t>
      </w:r>
      <w:r w:rsidRPr="000176E2">
        <w:t xml:space="preserve">** </w:t>
      </w:r>
      <w:r w:rsidRPr="000176E2">
        <w:rPr>
          <w:i/>
        </w:rPr>
        <w:t xml:space="preserve">p </w:t>
      </w:r>
      <w:r w:rsidRPr="000176E2">
        <w:t>&lt; .01.</w:t>
      </w:r>
    </w:p>
    <w:p w:rsidR="00D00D45" w:rsidRPr="00736D5E" w:rsidRDefault="00D00D45" w:rsidP="001A7A7A">
      <w:pPr>
        <w:widowControl w:val="0"/>
        <w:spacing w:before="120" w:line="480" w:lineRule="auto"/>
        <w:ind w:right="-360"/>
      </w:pPr>
    </w:p>
    <w:sectPr w:rsidR="00D00D45" w:rsidRPr="00736D5E" w:rsidSect="00676B7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0D7" w:rsidRDefault="00F700D7">
      <w:r>
        <w:separator/>
      </w:r>
    </w:p>
  </w:endnote>
  <w:endnote w:type="continuationSeparator" w:id="0">
    <w:p w:rsidR="00F700D7" w:rsidRDefault="00F700D7">
      <w:r>
        <w:continuationSeparator/>
      </w:r>
    </w:p>
  </w:endnote>
  <w:endnote w:type="continuationNotice" w:id="1">
    <w:p w:rsidR="00F700D7" w:rsidRDefault="00F70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20007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2E0" w:rsidRDefault="005922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2E0" w:rsidRDefault="005922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2E0" w:rsidRDefault="005922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0D7" w:rsidRDefault="00F700D7">
      <w:r>
        <w:separator/>
      </w:r>
    </w:p>
  </w:footnote>
  <w:footnote w:type="continuationSeparator" w:id="0">
    <w:p w:rsidR="00F700D7" w:rsidRDefault="00F700D7">
      <w:r>
        <w:continuationSeparator/>
      </w:r>
    </w:p>
  </w:footnote>
  <w:footnote w:type="continuationNotice" w:id="1">
    <w:p w:rsidR="00F700D7" w:rsidRDefault="00F700D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2E0" w:rsidRDefault="005922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313724"/>
      <w:docPartObj>
        <w:docPartGallery w:val="Page Numbers (Top of Page)"/>
        <w:docPartUnique/>
      </w:docPartObj>
    </w:sdtPr>
    <w:sdtEndPr>
      <w:rPr>
        <w:noProof/>
      </w:rPr>
    </w:sdtEndPr>
    <w:sdtContent>
      <w:p w:rsidR="005922E0" w:rsidRDefault="005922E0">
        <w:pPr>
          <w:pStyle w:val="Header"/>
          <w:jc w:val="right"/>
        </w:pPr>
        <w:r>
          <w:fldChar w:fldCharType="begin"/>
        </w:r>
        <w:r>
          <w:instrText xml:space="preserve"> PAGE   \* MERGEFORMAT </w:instrText>
        </w:r>
        <w:r>
          <w:fldChar w:fldCharType="separate"/>
        </w:r>
        <w:r w:rsidR="00D247C7">
          <w:rPr>
            <w:noProof/>
          </w:rPr>
          <w:t>25</w:t>
        </w:r>
        <w:r>
          <w:rPr>
            <w:noProof/>
          </w:rPr>
          <w:fldChar w:fldCharType="end"/>
        </w:r>
      </w:p>
    </w:sdtContent>
  </w:sdt>
  <w:p w:rsidR="005922E0" w:rsidRPr="00EB13E9" w:rsidRDefault="005922E0" w:rsidP="00CA5A65">
    <w:pPr>
      <w:pStyle w:val="Header"/>
      <w:tabs>
        <w:tab w:val="clear" w:pos="8640"/>
        <w:tab w:val="right" w:pos="9291"/>
      </w:tabs>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2E0" w:rsidRDefault="005922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C71D3"/>
    <w:multiLevelType w:val="hybridMultilevel"/>
    <w:tmpl w:val="41B0844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72A3BA4"/>
    <w:multiLevelType w:val="multilevel"/>
    <w:tmpl w:val="717ADA94"/>
    <w:lvl w:ilvl="0">
      <w:start w:val="12"/>
      <w:numFmt w:val="decimal"/>
      <w:lvlText w:val="%1"/>
      <w:lvlJc w:val="left"/>
      <w:pPr>
        <w:tabs>
          <w:tab w:val="num" w:pos="720"/>
        </w:tabs>
        <w:ind w:left="720" w:hanging="720"/>
      </w:pPr>
      <w:rPr>
        <w:rFonts w:hint="default"/>
      </w:rPr>
    </w:lvl>
    <w:lvl w:ilvl="1">
      <w:start w:val="9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374C29A3"/>
    <w:multiLevelType w:val="hybridMultilevel"/>
    <w:tmpl w:val="629218A2"/>
    <w:lvl w:ilvl="0" w:tplc="FFFFFFFF">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DE544DE"/>
    <w:multiLevelType w:val="hybridMultilevel"/>
    <w:tmpl w:val="334C7CA2"/>
    <w:lvl w:ilvl="0" w:tplc="B71ADBC8">
      <w:start w:val="1"/>
      <w:numFmt w:val="bullet"/>
      <w:lvlText w:val="-"/>
      <w:lvlJc w:val="left"/>
      <w:pPr>
        <w:tabs>
          <w:tab w:val="num" w:pos="720"/>
        </w:tabs>
        <w:ind w:left="720" w:hanging="360"/>
      </w:pPr>
      <w:rPr>
        <w:rFonts w:ascii="Times" w:eastAsia="Times New Roman" w:hAnsi="Times" w:cs="Time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4FB0224"/>
    <w:multiLevelType w:val="hybridMultilevel"/>
    <w:tmpl w:val="6D8E7AE4"/>
    <w:lvl w:ilvl="0" w:tplc="0EAAE3CA">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5BC42F2D"/>
    <w:multiLevelType w:val="hybridMultilevel"/>
    <w:tmpl w:val="14C4F0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0B17F77"/>
    <w:multiLevelType w:val="multilevel"/>
    <w:tmpl w:val="8630728E"/>
    <w:lvl w:ilvl="0">
      <w:start w:val="12"/>
      <w:numFmt w:val="decimal"/>
      <w:lvlText w:val="%1"/>
      <w:lvlJc w:val="left"/>
      <w:pPr>
        <w:tabs>
          <w:tab w:val="num" w:pos="720"/>
        </w:tabs>
        <w:ind w:left="720" w:hanging="720"/>
      </w:pPr>
      <w:rPr>
        <w:rFonts w:hint="default"/>
      </w:rPr>
    </w:lvl>
    <w:lvl w:ilvl="1">
      <w:start w:val="8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
  </w:num>
  <w:num w:numId="3">
    <w:abstractNumId w:val="2"/>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ctiveWritingStyle w:appName="MSWord" w:lang="en-US" w:vendorID="64" w:dllVersion="131078" w:nlCheck="1" w:checkStyle="1"/>
  <w:activeWritingStyle w:appName="MSWord" w:lang="es-E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BC6"/>
    <w:rsid w:val="00000AB5"/>
    <w:rsid w:val="00001189"/>
    <w:rsid w:val="00003E40"/>
    <w:rsid w:val="000040F2"/>
    <w:rsid w:val="00004E55"/>
    <w:rsid w:val="00005B6E"/>
    <w:rsid w:val="00007673"/>
    <w:rsid w:val="00007C3D"/>
    <w:rsid w:val="00010692"/>
    <w:rsid w:val="000116F8"/>
    <w:rsid w:val="00013296"/>
    <w:rsid w:val="00013371"/>
    <w:rsid w:val="00016426"/>
    <w:rsid w:val="000166FD"/>
    <w:rsid w:val="00016D4B"/>
    <w:rsid w:val="000176E2"/>
    <w:rsid w:val="0002095F"/>
    <w:rsid w:val="00021040"/>
    <w:rsid w:val="00021629"/>
    <w:rsid w:val="00024AE0"/>
    <w:rsid w:val="000257CC"/>
    <w:rsid w:val="00025877"/>
    <w:rsid w:val="00026952"/>
    <w:rsid w:val="00032C8D"/>
    <w:rsid w:val="0003569E"/>
    <w:rsid w:val="0003579D"/>
    <w:rsid w:val="00036812"/>
    <w:rsid w:val="000369FC"/>
    <w:rsid w:val="00036CB7"/>
    <w:rsid w:val="00036DB7"/>
    <w:rsid w:val="00040012"/>
    <w:rsid w:val="00041944"/>
    <w:rsid w:val="00041B42"/>
    <w:rsid w:val="000422F5"/>
    <w:rsid w:val="00042FE8"/>
    <w:rsid w:val="00043387"/>
    <w:rsid w:val="0004683A"/>
    <w:rsid w:val="00047E3E"/>
    <w:rsid w:val="00050746"/>
    <w:rsid w:val="00050A3E"/>
    <w:rsid w:val="00052318"/>
    <w:rsid w:val="000532F6"/>
    <w:rsid w:val="000538A2"/>
    <w:rsid w:val="00056280"/>
    <w:rsid w:val="0005638A"/>
    <w:rsid w:val="00057335"/>
    <w:rsid w:val="00057697"/>
    <w:rsid w:val="00057D59"/>
    <w:rsid w:val="00063429"/>
    <w:rsid w:val="000651D1"/>
    <w:rsid w:val="0006564C"/>
    <w:rsid w:val="00067D97"/>
    <w:rsid w:val="000703D5"/>
    <w:rsid w:val="00070526"/>
    <w:rsid w:val="00071EDB"/>
    <w:rsid w:val="00072709"/>
    <w:rsid w:val="00073221"/>
    <w:rsid w:val="00073295"/>
    <w:rsid w:val="0007479E"/>
    <w:rsid w:val="00075C9C"/>
    <w:rsid w:val="00077521"/>
    <w:rsid w:val="00080C76"/>
    <w:rsid w:val="00081653"/>
    <w:rsid w:val="00081982"/>
    <w:rsid w:val="000829A1"/>
    <w:rsid w:val="000836EA"/>
    <w:rsid w:val="00084185"/>
    <w:rsid w:val="00084785"/>
    <w:rsid w:val="000848FD"/>
    <w:rsid w:val="00085F1B"/>
    <w:rsid w:val="000860D8"/>
    <w:rsid w:val="00086DE9"/>
    <w:rsid w:val="00093615"/>
    <w:rsid w:val="00093829"/>
    <w:rsid w:val="000951C7"/>
    <w:rsid w:val="000A147A"/>
    <w:rsid w:val="000A1BC7"/>
    <w:rsid w:val="000A4F19"/>
    <w:rsid w:val="000A4FA7"/>
    <w:rsid w:val="000A5D8A"/>
    <w:rsid w:val="000A7085"/>
    <w:rsid w:val="000B1636"/>
    <w:rsid w:val="000B174F"/>
    <w:rsid w:val="000B7D98"/>
    <w:rsid w:val="000C185D"/>
    <w:rsid w:val="000C23D7"/>
    <w:rsid w:val="000C5521"/>
    <w:rsid w:val="000C7E85"/>
    <w:rsid w:val="000D1315"/>
    <w:rsid w:val="000D2401"/>
    <w:rsid w:val="000D3F0E"/>
    <w:rsid w:val="000D6A44"/>
    <w:rsid w:val="000D7C90"/>
    <w:rsid w:val="000E0017"/>
    <w:rsid w:val="000E0C31"/>
    <w:rsid w:val="000E1E09"/>
    <w:rsid w:val="000E211A"/>
    <w:rsid w:val="000F012C"/>
    <w:rsid w:val="000F0811"/>
    <w:rsid w:val="000F1443"/>
    <w:rsid w:val="000F1C69"/>
    <w:rsid w:val="000F3042"/>
    <w:rsid w:val="000F328C"/>
    <w:rsid w:val="000F4299"/>
    <w:rsid w:val="000F75BF"/>
    <w:rsid w:val="001003E2"/>
    <w:rsid w:val="001021BC"/>
    <w:rsid w:val="001032F7"/>
    <w:rsid w:val="00106381"/>
    <w:rsid w:val="0010648E"/>
    <w:rsid w:val="00110B0E"/>
    <w:rsid w:val="001110E8"/>
    <w:rsid w:val="00111791"/>
    <w:rsid w:val="00111A25"/>
    <w:rsid w:val="00113BFF"/>
    <w:rsid w:val="00114184"/>
    <w:rsid w:val="001155F3"/>
    <w:rsid w:val="00120714"/>
    <w:rsid w:val="001207B1"/>
    <w:rsid w:val="00122B26"/>
    <w:rsid w:val="00122E62"/>
    <w:rsid w:val="0012322A"/>
    <w:rsid w:val="00123EC0"/>
    <w:rsid w:val="001266EC"/>
    <w:rsid w:val="00135176"/>
    <w:rsid w:val="00135791"/>
    <w:rsid w:val="00136290"/>
    <w:rsid w:val="001371C2"/>
    <w:rsid w:val="00137F90"/>
    <w:rsid w:val="00141083"/>
    <w:rsid w:val="001423FF"/>
    <w:rsid w:val="001519CF"/>
    <w:rsid w:val="00151D74"/>
    <w:rsid w:val="00156070"/>
    <w:rsid w:val="001617AC"/>
    <w:rsid w:val="0016254F"/>
    <w:rsid w:val="00162638"/>
    <w:rsid w:val="00162A27"/>
    <w:rsid w:val="001672B8"/>
    <w:rsid w:val="001672C6"/>
    <w:rsid w:val="0016760C"/>
    <w:rsid w:val="0017107D"/>
    <w:rsid w:val="00171F9F"/>
    <w:rsid w:val="00172DC5"/>
    <w:rsid w:val="001742BF"/>
    <w:rsid w:val="00174D99"/>
    <w:rsid w:val="001801F0"/>
    <w:rsid w:val="0018089A"/>
    <w:rsid w:val="0018371E"/>
    <w:rsid w:val="00183FC1"/>
    <w:rsid w:val="00185D51"/>
    <w:rsid w:val="00186E5A"/>
    <w:rsid w:val="00186EB2"/>
    <w:rsid w:val="00187E23"/>
    <w:rsid w:val="0019046B"/>
    <w:rsid w:val="00190996"/>
    <w:rsid w:val="00191015"/>
    <w:rsid w:val="00191749"/>
    <w:rsid w:val="00192B61"/>
    <w:rsid w:val="00193377"/>
    <w:rsid w:val="001938DC"/>
    <w:rsid w:val="00196923"/>
    <w:rsid w:val="001A027E"/>
    <w:rsid w:val="001A1E59"/>
    <w:rsid w:val="001A1F40"/>
    <w:rsid w:val="001A21F7"/>
    <w:rsid w:val="001A39A7"/>
    <w:rsid w:val="001A39CA"/>
    <w:rsid w:val="001A5C99"/>
    <w:rsid w:val="001A6537"/>
    <w:rsid w:val="001A71E2"/>
    <w:rsid w:val="001A7A7A"/>
    <w:rsid w:val="001B0CFA"/>
    <w:rsid w:val="001C0305"/>
    <w:rsid w:val="001C0986"/>
    <w:rsid w:val="001C1ADE"/>
    <w:rsid w:val="001C1DB1"/>
    <w:rsid w:val="001C2131"/>
    <w:rsid w:val="001C248A"/>
    <w:rsid w:val="001C2802"/>
    <w:rsid w:val="001C2EB4"/>
    <w:rsid w:val="001C2FF1"/>
    <w:rsid w:val="001C49EB"/>
    <w:rsid w:val="001C546D"/>
    <w:rsid w:val="001C5616"/>
    <w:rsid w:val="001C5769"/>
    <w:rsid w:val="001D154A"/>
    <w:rsid w:val="001D1BB5"/>
    <w:rsid w:val="001D2DBD"/>
    <w:rsid w:val="001D45FF"/>
    <w:rsid w:val="001D4D74"/>
    <w:rsid w:val="001D4F38"/>
    <w:rsid w:val="001D4FA3"/>
    <w:rsid w:val="001D5258"/>
    <w:rsid w:val="001E0BBF"/>
    <w:rsid w:val="001E2B48"/>
    <w:rsid w:val="001E58A1"/>
    <w:rsid w:val="001F02DD"/>
    <w:rsid w:val="001F07AB"/>
    <w:rsid w:val="001F24A9"/>
    <w:rsid w:val="001F3294"/>
    <w:rsid w:val="001F3D10"/>
    <w:rsid w:val="001F3F6E"/>
    <w:rsid w:val="001F5160"/>
    <w:rsid w:val="001F5F8D"/>
    <w:rsid w:val="001F6D5A"/>
    <w:rsid w:val="002010E4"/>
    <w:rsid w:val="00202989"/>
    <w:rsid w:val="00202FD8"/>
    <w:rsid w:val="00204606"/>
    <w:rsid w:val="0020473E"/>
    <w:rsid w:val="00204CCB"/>
    <w:rsid w:val="0021204C"/>
    <w:rsid w:val="00214800"/>
    <w:rsid w:val="00214BC2"/>
    <w:rsid w:val="002173FD"/>
    <w:rsid w:val="00220BFD"/>
    <w:rsid w:val="002228DB"/>
    <w:rsid w:val="002232AE"/>
    <w:rsid w:val="00224454"/>
    <w:rsid w:val="0022565D"/>
    <w:rsid w:val="00225C31"/>
    <w:rsid w:val="00227D14"/>
    <w:rsid w:val="0023165B"/>
    <w:rsid w:val="002324AD"/>
    <w:rsid w:val="00233839"/>
    <w:rsid w:val="002346F7"/>
    <w:rsid w:val="00236769"/>
    <w:rsid w:val="002404A0"/>
    <w:rsid w:val="002410A4"/>
    <w:rsid w:val="002448CC"/>
    <w:rsid w:val="00244F42"/>
    <w:rsid w:val="00246A08"/>
    <w:rsid w:val="00246A2A"/>
    <w:rsid w:val="00246AE8"/>
    <w:rsid w:val="00246F5F"/>
    <w:rsid w:val="00247959"/>
    <w:rsid w:val="00247B74"/>
    <w:rsid w:val="00250363"/>
    <w:rsid w:val="002518AB"/>
    <w:rsid w:val="00251933"/>
    <w:rsid w:val="00252D23"/>
    <w:rsid w:val="002530EC"/>
    <w:rsid w:val="00253160"/>
    <w:rsid w:val="00253E99"/>
    <w:rsid w:val="002546C2"/>
    <w:rsid w:val="0025557F"/>
    <w:rsid w:val="002563A9"/>
    <w:rsid w:val="002625EE"/>
    <w:rsid w:val="00265373"/>
    <w:rsid w:val="00265E15"/>
    <w:rsid w:val="00267EA2"/>
    <w:rsid w:val="0027035D"/>
    <w:rsid w:val="00270B9A"/>
    <w:rsid w:val="00274C80"/>
    <w:rsid w:val="00275004"/>
    <w:rsid w:val="00277D6A"/>
    <w:rsid w:val="0028133B"/>
    <w:rsid w:val="00281891"/>
    <w:rsid w:val="002836D0"/>
    <w:rsid w:val="00283A94"/>
    <w:rsid w:val="00287344"/>
    <w:rsid w:val="0029108C"/>
    <w:rsid w:val="00291A64"/>
    <w:rsid w:val="00292273"/>
    <w:rsid w:val="0029266C"/>
    <w:rsid w:val="00292E7E"/>
    <w:rsid w:val="00292FD5"/>
    <w:rsid w:val="00293EB0"/>
    <w:rsid w:val="00294BBA"/>
    <w:rsid w:val="0029597F"/>
    <w:rsid w:val="0029741E"/>
    <w:rsid w:val="002A092A"/>
    <w:rsid w:val="002A2F8A"/>
    <w:rsid w:val="002A6B1B"/>
    <w:rsid w:val="002A781D"/>
    <w:rsid w:val="002A7E14"/>
    <w:rsid w:val="002B06F1"/>
    <w:rsid w:val="002B1C4C"/>
    <w:rsid w:val="002B1F70"/>
    <w:rsid w:val="002B6F82"/>
    <w:rsid w:val="002B7FA1"/>
    <w:rsid w:val="002C0B86"/>
    <w:rsid w:val="002C42EF"/>
    <w:rsid w:val="002C5971"/>
    <w:rsid w:val="002D4D41"/>
    <w:rsid w:val="002D69C5"/>
    <w:rsid w:val="002D6C05"/>
    <w:rsid w:val="002D751E"/>
    <w:rsid w:val="002D7695"/>
    <w:rsid w:val="002E0913"/>
    <w:rsid w:val="002E1A11"/>
    <w:rsid w:val="002E1E94"/>
    <w:rsid w:val="002E28B0"/>
    <w:rsid w:val="002E3661"/>
    <w:rsid w:val="002E4765"/>
    <w:rsid w:val="002E4F00"/>
    <w:rsid w:val="002E5C79"/>
    <w:rsid w:val="002E651B"/>
    <w:rsid w:val="002E6836"/>
    <w:rsid w:val="002E7C56"/>
    <w:rsid w:val="002F2782"/>
    <w:rsid w:val="002F4AC6"/>
    <w:rsid w:val="002F5F75"/>
    <w:rsid w:val="002F6E58"/>
    <w:rsid w:val="002F6EE8"/>
    <w:rsid w:val="003015C2"/>
    <w:rsid w:val="00301E59"/>
    <w:rsid w:val="00302933"/>
    <w:rsid w:val="00303353"/>
    <w:rsid w:val="0030550A"/>
    <w:rsid w:val="003055BE"/>
    <w:rsid w:val="00310079"/>
    <w:rsid w:val="00311075"/>
    <w:rsid w:val="00311B2F"/>
    <w:rsid w:val="0031239B"/>
    <w:rsid w:val="0031294E"/>
    <w:rsid w:val="00312AE7"/>
    <w:rsid w:val="00313BAE"/>
    <w:rsid w:val="003205F6"/>
    <w:rsid w:val="00321A17"/>
    <w:rsid w:val="0032209D"/>
    <w:rsid w:val="00322339"/>
    <w:rsid w:val="00322989"/>
    <w:rsid w:val="00323551"/>
    <w:rsid w:val="003238BF"/>
    <w:rsid w:val="00325467"/>
    <w:rsid w:val="00330288"/>
    <w:rsid w:val="00330FEB"/>
    <w:rsid w:val="00332AC8"/>
    <w:rsid w:val="00332AD7"/>
    <w:rsid w:val="00341588"/>
    <w:rsid w:val="00342277"/>
    <w:rsid w:val="00345F5D"/>
    <w:rsid w:val="00346BF9"/>
    <w:rsid w:val="00347765"/>
    <w:rsid w:val="00347DF3"/>
    <w:rsid w:val="0035042A"/>
    <w:rsid w:val="00351CE2"/>
    <w:rsid w:val="00354B5D"/>
    <w:rsid w:val="0035536C"/>
    <w:rsid w:val="00355E3F"/>
    <w:rsid w:val="00356B4A"/>
    <w:rsid w:val="00357083"/>
    <w:rsid w:val="00357862"/>
    <w:rsid w:val="003600B6"/>
    <w:rsid w:val="0036043A"/>
    <w:rsid w:val="00360989"/>
    <w:rsid w:val="00362947"/>
    <w:rsid w:val="00362B62"/>
    <w:rsid w:val="00362F55"/>
    <w:rsid w:val="003657B4"/>
    <w:rsid w:val="003668B1"/>
    <w:rsid w:val="003668C0"/>
    <w:rsid w:val="0036752A"/>
    <w:rsid w:val="003677F7"/>
    <w:rsid w:val="00370ABC"/>
    <w:rsid w:val="00371EA2"/>
    <w:rsid w:val="003726D5"/>
    <w:rsid w:val="0037325A"/>
    <w:rsid w:val="00374071"/>
    <w:rsid w:val="00374141"/>
    <w:rsid w:val="00375B19"/>
    <w:rsid w:val="0037747F"/>
    <w:rsid w:val="00377EAA"/>
    <w:rsid w:val="003802DE"/>
    <w:rsid w:val="00380FB8"/>
    <w:rsid w:val="00382162"/>
    <w:rsid w:val="00383A03"/>
    <w:rsid w:val="003849A3"/>
    <w:rsid w:val="00385BC0"/>
    <w:rsid w:val="00386E53"/>
    <w:rsid w:val="003903BD"/>
    <w:rsid w:val="00390443"/>
    <w:rsid w:val="0039134A"/>
    <w:rsid w:val="00391F5C"/>
    <w:rsid w:val="003924B4"/>
    <w:rsid w:val="003926F0"/>
    <w:rsid w:val="003930C9"/>
    <w:rsid w:val="0039444B"/>
    <w:rsid w:val="00395037"/>
    <w:rsid w:val="00395DC4"/>
    <w:rsid w:val="003964D4"/>
    <w:rsid w:val="00396E6A"/>
    <w:rsid w:val="003A38DC"/>
    <w:rsid w:val="003A7A94"/>
    <w:rsid w:val="003B0864"/>
    <w:rsid w:val="003B087A"/>
    <w:rsid w:val="003B19A3"/>
    <w:rsid w:val="003B3DB9"/>
    <w:rsid w:val="003B3FD2"/>
    <w:rsid w:val="003B76DC"/>
    <w:rsid w:val="003B7C0B"/>
    <w:rsid w:val="003B7EDE"/>
    <w:rsid w:val="003C1F1C"/>
    <w:rsid w:val="003C4B3A"/>
    <w:rsid w:val="003C5B60"/>
    <w:rsid w:val="003C62B4"/>
    <w:rsid w:val="003C7650"/>
    <w:rsid w:val="003C7B36"/>
    <w:rsid w:val="003C7E63"/>
    <w:rsid w:val="003D38A7"/>
    <w:rsid w:val="003D405F"/>
    <w:rsid w:val="003D59AF"/>
    <w:rsid w:val="003E5248"/>
    <w:rsid w:val="003F051B"/>
    <w:rsid w:val="003F1A4D"/>
    <w:rsid w:val="003F2A8F"/>
    <w:rsid w:val="003F3234"/>
    <w:rsid w:val="003F53E9"/>
    <w:rsid w:val="003F5C92"/>
    <w:rsid w:val="00401471"/>
    <w:rsid w:val="0040220F"/>
    <w:rsid w:val="00403533"/>
    <w:rsid w:val="00404BE2"/>
    <w:rsid w:val="004050F6"/>
    <w:rsid w:val="00405D5A"/>
    <w:rsid w:val="00407222"/>
    <w:rsid w:val="00407384"/>
    <w:rsid w:val="00410214"/>
    <w:rsid w:val="004126DE"/>
    <w:rsid w:val="004201D4"/>
    <w:rsid w:val="004202E2"/>
    <w:rsid w:val="0042223B"/>
    <w:rsid w:val="00423099"/>
    <w:rsid w:val="00423AAE"/>
    <w:rsid w:val="00425BB7"/>
    <w:rsid w:val="00425BDB"/>
    <w:rsid w:val="00425FF6"/>
    <w:rsid w:val="00427176"/>
    <w:rsid w:val="0043094D"/>
    <w:rsid w:val="00432FE8"/>
    <w:rsid w:val="00433466"/>
    <w:rsid w:val="004357EF"/>
    <w:rsid w:val="0044126C"/>
    <w:rsid w:val="004436B6"/>
    <w:rsid w:val="00444C78"/>
    <w:rsid w:val="00446616"/>
    <w:rsid w:val="00446A30"/>
    <w:rsid w:val="00450364"/>
    <w:rsid w:val="004514AE"/>
    <w:rsid w:val="00452174"/>
    <w:rsid w:val="00452A16"/>
    <w:rsid w:val="004556D5"/>
    <w:rsid w:val="00455A5C"/>
    <w:rsid w:val="00456270"/>
    <w:rsid w:val="0045687F"/>
    <w:rsid w:val="004639D0"/>
    <w:rsid w:val="0046417C"/>
    <w:rsid w:val="00467263"/>
    <w:rsid w:val="00467492"/>
    <w:rsid w:val="00467C44"/>
    <w:rsid w:val="0047264E"/>
    <w:rsid w:val="00472978"/>
    <w:rsid w:val="00473AAE"/>
    <w:rsid w:val="004757F6"/>
    <w:rsid w:val="0047594A"/>
    <w:rsid w:val="00475B12"/>
    <w:rsid w:val="004774E8"/>
    <w:rsid w:val="00477CDC"/>
    <w:rsid w:val="00480405"/>
    <w:rsid w:val="00480D20"/>
    <w:rsid w:val="0048142C"/>
    <w:rsid w:val="00481F2F"/>
    <w:rsid w:val="00482750"/>
    <w:rsid w:val="00483968"/>
    <w:rsid w:val="00484082"/>
    <w:rsid w:val="0048578A"/>
    <w:rsid w:val="00486A47"/>
    <w:rsid w:val="0049112B"/>
    <w:rsid w:val="00492BBD"/>
    <w:rsid w:val="00492EA7"/>
    <w:rsid w:val="00495EA5"/>
    <w:rsid w:val="00495EE1"/>
    <w:rsid w:val="00496654"/>
    <w:rsid w:val="00497757"/>
    <w:rsid w:val="00497C9A"/>
    <w:rsid w:val="004A022D"/>
    <w:rsid w:val="004A181E"/>
    <w:rsid w:val="004A2194"/>
    <w:rsid w:val="004A21DD"/>
    <w:rsid w:val="004A24A8"/>
    <w:rsid w:val="004A3FBB"/>
    <w:rsid w:val="004A5F00"/>
    <w:rsid w:val="004A6F9C"/>
    <w:rsid w:val="004B01D6"/>
    <w:rsid w:val="004B055D"/>
    <w:rsid w:val="004B1C93"/>
    <w:rsid w:val="004B4432"/>
    <w:rsid w:val="004B559A"/>
    <w:rsid w:val="004B68CC"/>
    <w:rsid w:val="004C0D18"/>
    <w:rsid w:val="004C3449"/>
    <w:rsid w:val="004C52C4"/>
    <w:rsid w:val="004C5541"/>
    <w:rsid w:val="004C6888"/>
    <w:rsid w:val="004C7062"/>
    <w:rsid w:val="004C7917"/>
    <w:rsid w:val="004D2C1A"/>
    <w:rsid w:val="004D4767"/>
    <w:rsid w:val="004D637D"/>
    <w:rsid w:val="004D64F1"/>
    <w:rsid w:val="004D76DF"/>
    <w:rsid w:val="004E1EA6"/>
    <w:rsid w:val="004E21CF"/>
    <w:rsid w:val="004E65C6"/>
    <w:rsid w:val="004E77CE"/>
    <w:rsid w:val="004F0A31"/>
    <w:rsid w:val="004F1131"/>
    <w:rsid w:val="004F2E0D"/>
    <w:rsid w:val="004F3802"/>
    <w:rsid w:val="004F3E8F"/>
    <w:rsid w:val="004F5392"/>
    <w:rsid w:val="004F7023"/>
    <w:rsid w:val="00500943"/>
    <w:rsid w:val="00502B3C"/>
    <w:rsid w:val="0050337A"/>
    <w:rsid w:val="00504C6A"/>
    <w:rsid w:val="005055F2"/>
    <w:rsid w:val="005056BD"/>
    <w:rsid w:val="005066DC"/>
    <w:rsid w:val="00506BE6"/>
    <w:rsid w:val="00510056"/>
    <w:rsid w:val="00511425"/>
    <w:rsid w:val="00515CB7"/>
    <w:rsid w:val="00515DFA"/>
    <w:rsid w:val="00516340"/>
    <w:rsid w:val="005169B0"/>
    <w:rsid w:val="0052090B"/>
    <w:rsid w:val="005228C5"/>
    <w:rsid w:val="00524267"/>
    <w:rsid w:val="00525114"/>
    <w:rsid w:val="00525AF9"/>
    <w:rsid w:val="00525C3F"/>
    <w:rsid w:val="00526244"/>
    <w:rsid w:val="0052664D"/>
    <w:rsid w:val="00527489"/>
    <w:rsid w:val="00527783"/>
    <w:rsid w:val="00527B23"/>
    <w:rsid w:val="00527EF8"/>
    <w:rsid w:val="00530690"/>
    <w:rsid w:val="00531E09"/>
    <w:rsid w:val="005337E9"/>
    <w:rsid w:val="0053670F"/>
    <w:rsid w:val="005369B7"/>
    <w:rsid w:val="0054111B"/>
    <w:rsid w:val="005418FF"/>
    <w:rsid w:val="005445E7"/>
    <w:rsid w:val="00544F06"/>
    <w:rsid w:val="00545BEE"/>
    <w:rsid w:val="00546368"/>
    <w:rsid w:val="00546637"/>
    <w:rsid w:val="0054667D"/>
    <w:rsid w:val="00546FC0"/>
    <w:rsid w:val="0054732C"/>
    <w:rsid w:val="005477CB"/>
    <w:rsid w:val="00550C7A"/>
    <w:rsid w:val="00551B56"/>
    <w:rsid w:val="0055221D"/>
    <w:rsid w:val="00552D57"/>
    <w:rsid w:val="005546BA"/>
    <w:rsid w:val="00555104"/>
    <w:rsid w:val="005638F3"/>
    <w:rsid w:val="0056435E"/>
    <w:rsid w:val="00564954"/>
    <w:rsid w:val="00564B1E"/>
    <w:rsid w:val="0056590F"/>
    <w:rsid w:val="00567820"/>
    <w:rsid w:val="00567DA0"/>
    <w:rsid w:val="005705FE"/>
    <w:rsid w:val="00571D8A"/>
    <w:rsid w:val="00573D8D"/>
    <w:rsid w:val="00575D9A"/>
    <w:rsid w:val="00575F31"/>
    <w:rsid w:val="0057644C"/>
    <w:rsid w:val="005803FA"/>
    <w:rsid w:val="00580B37"/>
    <w:rsid w:val="00580F0A"/>
    <w:rsid w:val="005829F0"/>
    <w:rsid w:val="00584208"/>
    <w:rsid w:val="00584DD9"/>
    <w:rsid w:val="00585AA0"/>
    <w:rsid w:val="00586781"/>
    <w:rsid w:val="00587BD4"/>
    <w:rsid w:val="00591649"/>
    <w:rsid w:val="005922E0"/>
    <w:rsid w:val="0059273A"/>
    <w:rsid w:val="005939EF"/>
    <w:rsid w:val="005953B2"/>
    <w:rsid w:val="00597F09"/>
    <w:rsid w:val="005A022A"/>
    <w:rsid w:val="005A0939"/>
    <w:rsid w:val="005A1524"/>
    <w:rsid w:val="005A2298"/>
    <w:rsid w:val="005A241C"/>
    <w:rsid w:val="005A4E9E"/>
    <w:rsid w:val="005A661B"/>
    <w:rsid w:val="005A7F3E"/>
    <w:rsid w:val="005B0ED0"/>
    <w:rsid w:val="005B1476"/>
    <w:rsid w:val="005B371E"/>
    <w:rsid w:val="005B3743"/>
    <w:rsid w:val="005B47B5"/>
    <w:rsid w:val="005B506B"/>
    <w:rsid w:val="005B5302"/>
    <w:rsid w:val="005B58AA"/>
    <w:rsid w:val="005B5D3B"/>
    <w:rsid w:val="005B65B9"/>
    <w:rsid w:val="005B7E71"/>
    <w:rsid w:val="005C03F7"/>
    <w:rsid w:val="005C128B"/>
    <w:rsid w:val="005C14DD"/>
    <w:rsid w:val="005C1F1A"/>
    <w:rsid w:val="005C36E5"/>
    <w:rsid w:val="005C3F9D"/>
    <w:rsid w:val="005C474E"/>
    <w:rsid w:val="005C658F"/>
    <w:rsid w:val="005C78A4"/>
    <w:rsid w:val="005C7EF4"/>
    <w:rsid w:val="005C7F2D"/>
    <w:rsid w:val="005D231A"/>
    <w:rsid w:val="005D2D5A"/>
    <w:rsid w:val="005D3D97"/>
    <w:rsid w:val="005D4151"/>
    <w:rsid w:val="005D5509"/>
    <w:rsid w:val="005D7C01"/>
    <w:rsid w:val="005E00D3"/>
    <w:rsid w:val="005E093C"/>
    <w:rsid w:val="005E14A4"/>
    <w:rsid w:val="005E21FC"/>
    <w:rsid w:val="005E5FE5"/>
    <w:rsid w:val="005E6047"/>
    <w:rsid w:val="005E7064"/>
    <w:rsid w:val="005F08F0"/>
    <w:rsid w:val="005F5807"/>
    <w:rsid w:val="005F592B"/>
    <w:rsid w:val="005F5C28"/>
    <w:rsid w:val="005F67B2"/>
    <w:rsid w:val="005F6A0F"/>
    <w:rsid w:val="006010CB"/>
    <w:rsid w:val="006023A7"/>
    <w:rsid w:val="0060460D"/>
    <w:rsid w:val="00604C3B"/>
    <w:rsid w:val="00605BAA"/>
    <w:rsid w:val="00606CD6"/>
    <w:rsid w:val="0061064F"/>
    <w:rsid w:val="00610B33"/>
    <w:rsid w:val="0061105C"/>
    <w:rsid w:val="00613A39"/>
    <w:rsid w:val="006148CF"/>
    <w:rsid w:val="00615D7D"/>
    <w:rsid w:val="00615D85"/>
    <w:rsid w:val="00616932"/>
    <w:rsid w:val="00616EE0"/>
    <w:rsid w:val="006202BD"/>
    <w:rsid w:val="00625AF9"/>
    <w:rsid w:val="006275D6"/>
    <w:rsid w:val="0063001A"/>
    <w:rsid w:val="00630721"/>
    <w:rsid w:val="00630C80"/>
    <w:rsid w:val="00631607"/>
    <w:rsid w:val="006336F4"/>
    <w:rsid w:val="00635436"/>
    <w:rsid w:val="006404D2"/>
    <w:rsid w:val="00644A45"/>
    <w:rsid w:val="00645244"/>
    <w:rsid w:val="00645404"/>
    <w:rsid w:val="006468C9"/>
    <w:rsid w:val="006468FC"/>
    <w:rsid w:val="00652569"/>
    <w:rsid w:val="00654B67"/>
    <w:rsid w:val="006563EE"/>
    <w:rsid w:val="00663F23"/>
    <w:rsid w:val="00664AFF"/>
    <w:rsid w:val="006651BE"/>
    <w:rsid w:val="00665449"/>
    <w:rsid w:val="00665765"/>
    <w:rsid w:val="00666409"/>
    <w:rsid w:val="00666C1C"/>
    <w:rsid w:val="0067051F"/>
    <w:rsid w:val="00671D0A"/>
    <w:rsid w:val="00674F3E"/>
    <w:rsid w:val="00674F90"/>
    <w:rsid w:val="00675228"/>
    <w:rsid w:val="00675972"/>
    <w:rsid w:val="00675FD6"/>
    <w:rsid w:val="006763CD"/>
    <w:rsid w:val="00676B77"/>
    <w:rsid w:val="0067745D"/>
    <w:rsid w:val="00677FFC"/>
    <w:rsid w:val="0068027A"/>
    <w:rsid w:val="00680977"/>
    <w:rsid w:val="00682031"/>
    <w:rsid w:val="006825CA"/>
    <w:rsid w:val="00686306"/>
    <w:rsid w:val="00686820"/>
    <w:rsid w:val="00686FDB"/>
    <w:rsid w:val="00687BEE"/>
    <w:rsid w:val="00690C79"/>
    <w:rsid w:val="0069163A"/>
    <w:rsid w:val="00692431"/>
    <w:rsid w:val="00692C7A"/>
    <w:rsid w:val="00693134"/>
    <w:rsid w:val="00693D93"/>
    <w:rsid w:val="00694E84"/>
    <w:rsid w:val="00696789"/>
    <w:rsid w:val="006A02CE"/>
    <w:rsid w:val="006A3F3A"/>
    <w:rsid w:val="006A6136"/>
    <w:rsid w:val="006A6997"/>
    <w:rsid w:val="006B0658"/>
    <w:rsid w:val="006B0BB0"/>
    <w:rsid w:val="006B133D"/>
    <w:rsid w:val="006B41BE"/>
    <w:rsid w:val="006B48A2"/>
    <w:rsid w:val="006B5BC6"/>
    <w:rsid w:val="006B6F2D"/>
    <w:rsid w:val="006C1FFE"/>
    <w:rsid w:val="006C2A54"/>
    <w:rsid w:val="006C2E84"/>
    <w:rsid w:val="006C3588"/>
    <w:rsid w:val="006C3F95"/>
    <w:rsid w:val="006C4D01"/>
    <w:rsid w:val="006C65BF"/>
    <w:rsid w:val="006C6652"/>
    <w:rsid w:val="006C7A7C"/>
    <w:rsid w:val="006D01CC"/>
    <w:rsid w:val="006D02F0"/>
    <w:rsid w:val="006D08FF"/>
    <w:rsid w:val="006D24FA"/>
    <w:rsid w:val="006D3317"/>
    <w:rsid w:val="006D3C76"/>
    <w:rsid w:val="006E14EC"/>
    <w:rsid w:val="006E1A82"/>
    <w:rsid w:val="006E31CF"/>
    <w:rsid w:val="006E55C8"/>
    <w:rsid w:val="006E65FB"/>
    <w:rsid w:val="006F01BF"/>
    <w:rsid w:val="006F085F"/>
    <w:rsid w:val="006F14F3"/>
    <w:rsid w:val="006F1A1B"/>
    <w:rsid w:val="006F2B6D"/>
    <w:rsid w:val="006F2BB1"/>
    <w:rsid w:val="006F34CB"/>
    <w:rsid w:val="006F3D76"/>
    <w:rsid w:val="006F3F68"/>
    <w:rsid w:val="006F5A62"/>
    <w:rsid w:val="00700B8C"/>
    <w:rsid w:val="00702F18"/>
    <w:rsid w:val="00703440"/>
    <w:rsid w:val="00704364"/>
    <w:rsid w:val="0070442A"/>
    <w:rsid w:val="0070693A"/>
    <w:rsid w:val="00706A0B"/>
    <w:rsid w:val="00710470"/>
    <w:rsid w:val="00710E64"/>
    <w:rsid w:val="00710F02"/>
    <w:rsid w:val="0071113E"/>
    <w:rsid w:val="0071358C"/>
    <w:rsid w:val="00713B60"/>
    <w:rsid w:val="0071464B"/>
    <w:rsid w:val="00715729"/>
    <w:rsid w:val="0071721B"/>
    <w:rsid w:val="0072012E"/>
    <w:rsid w:val="007245D0"/>
    <w:rsid w:val="00725359"/>
    <w:rsid w:val="007259EB"/>
    <w:rsid w:val="00725A1B"/>
    <w:rsid w:val="00726FEE"/>
    <w:rsid w:val="00730DC3"/>
    <w:rsid w:val="00731448"/>
    <w:rsid w:val="00732A0E"/>
    <w:rsid w:val="007343A9"/>
    <w:rsid w:val="0073470B"/>
    <w:rsid w:val="00734E0A"/>
    <w:rsid w:val="007368B0"/>
    <w:rsid w:val="00736D5E"/>
    <w:rsid w:val="00736EC9"/>
    <w:rsid w:val="007408BD"/>
    <w:rsid w:val="00741633"/>
    <w:rsid w:val="00741FF6"/>
    <w:rsid w:val="007424D1"/>
    <w:rsid w:val="00742DA6"/>
    <w:rsid w:val="00742FF1"/>
    <w:rsid w:val="00743049"/>
    <w:rsid w:val="0074535D"/>
    <w:rsid w:val="00750AE5"/>
    <w:rsid w:val="00753289"/>
    <w:rsid w:val="007544AF"/>
    <w:rsid w:val="007564EA"/>
    <w:rsid w:val="00760F9A"/>
    <w:rsid w:val="007614C5"/>
    <w:rsid w:val="00763CB9"/>
    <w:rsid w:val="0076431C"/>
    <w:rsid w:val="007644DF"/>
    <w:rsid w:val="00767000"/>
    <w:rsid w:val="007677B7"/>
    <w:rsid w:val="00767901"/>
    <w:rsid w:val="00776199"/>
    <w:rsid w:val="007802CE"/>
    <w:rsid w:val="00783FEE"/>
    <w:rsid w:val="00784158"/>
    <w:rsid w:val="007907D6"/>
    <w:rsid w:val="00790D5F"/>
    <w:rsid w:val="0079140E"/>
    <w:rsid w:val="00792CF9"/>
    <w:rsid w:val="00792FB8"/>
    <w:rsid w:val="00793C39"/>
    <w:rsid w:val="00793DBA"/>
    <w:rsid w:val="007946DE"/>
    <w:rsid w:val="00795461"/>
    <w:rsid w:val="00796105"/>
    <w:rsid w:val="00796268"/>
    <w:rsid w:val="007A02DD"/>
    <w:rsid w:val="007A0346"/>
    <w:rsid w:val="007A044E"/>
    <w:rsid w:val="007A1EFF"/>
    <w:rsid w:val="007A3F3A"/>
    <w:rsid w:val="007A48DA"/>
    <w:rsid w:val="007A7001"/>
    <w:rsid w:val="007A7984"/>
    <w:rsid w:val="007A7EED"/>
    <w:rsid w:val="007B0141"/>
    <w:rsid w:val="007B13B7"/>
    <w:rsid w:val="007B40AB"/>
    <w:rsid w:val="007C106C"/>
    <w:rsid w:val="007C3418"/>
    <w:rsid w:val="007C61A0"/>
    <w:rsid w:val="007C6A39"/>
    <w:rsid w:val="007C7375"/>
    <w:rsid w:val="007C7AC9"/>
    <w:rsid w:val="007C7E7D"/>
    <w:rsid w:val="007D1603"/>
    <w:rsid w:val="007D1EFD"/>
    <w:rsid w:val="007D24AB"/>
    <w:rsid w:val="007D323B"/>
    <w:rsid w:val="007D3E2D"/>
    <w:rsid w:val="007D3F71"/>
    <w:rsid w:val="007D5665"/>
    <w:rsid w:val="007D5E4D"/>
    <w:rsid w:val="007D7751"/>
    <w:rsid w:val="007E1503"/>
    <w:rsid w:val="007F0164"/>
    <w:rsid w:val="007F1366"/>
    <w:rsid w:val="007F1B25"/>
    <w:rsid w:val="007F4DF7"/>
    <w:rsid w:val="007F4EE1"/>
    <w:rsid w:val="007F5FF4"/>
    <w:rsid w:val="007F6338"/>
    <w:rsid w:val="00800F52"/>
    <w:rsid w:val="00800F82"/>
    <w:rsid w:val="00801445"/>
    <w:rsid w:val="00801AD9"/>
    <w:rsid w:val="00804BCD"/>
    <w:rsid w:val="00807946"/>
    <w:rsid w:val="008114D7"/>
    <w:rsid w:val="00812B05"/>
    <w:rsid w:val="00813085"/>
    <w:rsid w:val="0081392A"/>
    <w:rsid w:val="00815DCF"/>
    <w:rsid w:val="0082655E"/>
    <w:rsid w:val="00826FCC"/>
    <w:rsid w:val="00827EFF"/>
    <w:rsid w:val="00830049"/>
    <w:rsid w:val="0083059C"/>
    <w:rsid w:val="00831028"/>
    <w:rsid w:val="008317BE"/>
    <w:rsid w:val="00832007"/>
    <w:rsid w:val="0083412D"/>
    <w:rsid w:val="008358AA"/>
    <w:rsid w:val="00835AA0"/>
    <w:rsid w:val="00836BDD"/>
    <w:rsid w:val="008413E0"/>
    <w:rsid w:val="00841B59"/>
    <w:rsid w:val="00842D26"/>
    <w:rsid w:val="008438FE"/>
    <w:rsid w:val="0084442A"/>
    <w:rsid w:val="00844F31"/>
    <w:rsid w:val="00846BC3"/>
    <w:rsid w:val="00847E13"/>
    <w:rsid w:val="008505E9"/>
    <w:rsid w:val="00854948"/>
    <w:rsid w:val="00855176"/>
    <w:rsid w:val="00856A22"/>
    <w:rsid w:val="0086071F"/>
    <w:rsid w:val="008619A0"/>
    <w:rsid w:val="00863988"/>
    <w:rsid w:val="00864B76"/>
    <w:rsid w:val="00864C3A"/>
    <w:rsid w:val="00865A7E"/>
    <w:rsid w:val="0086611E"/>
    <w:rsid w:val="00866C77"/>
    <w:rsid w:val="008674D0"/>
    <w:rsid w:val="0086783B"/>
    <w:rsid w:val="00870595"/>
    <w:rsid w:val="0087141D"/>
    <w:rsid w:val="0087337E"/>
    <w:rsid w:val="0087359A"/>
    <w:rsid w:val="008735DA"/>
    <w:rsid w:val="00874B35"/>
    <w:rsid w:val="0087789D"/>
    <w:rsid w:val="00880A95"/>
    <w:rsid w:val="00881C6A"/>
    <w:rsid w:val="00882817"/>
    <w:rsid w:val="00885BFD"/>
    <w:rsid w:val="008863C8"/>
    <w:rsid w:val="0088743C"/>
    <w:rsid w:val="00892AC8"/>
    <w:rsid w:val="00894893"/>
    <w:rsid w:val="008977E2"/>
    <w:rsid w:val="00897AC1"/>
    <w:rsid w:val="008A02F1"/>
    <w:rsid w:val="008A2D67"/>
    <w:rsid w:val="008A2DA7"/>
    <w:rsid w:val="008A2F3B"/>
    <w:rsid w:val="008A34AE"/>
    <w:rsid w:val="008A3EA7"/>
    <w:rsid w:val="008A57BA"/>
    <w:rsid w:val="008A5876"/>
    <w:rsid w:val="008B1C02"/>
    <w:rsid w:val="008B2AF5"/>
    <w:rsid w:val="008B323C"/>
    <w:rsid w:val="008B5020"/>
    <w:rsid w:val="008B55B5"/>
    <w:rsid w:val="008B564E"/>
    <w:rsid w:val="008B5970"/>
    <w:rsid w:val="008B5DDC"/>
    <w:rsid w:val="008B6BE9"/>
    <w:rsid w:val="008B6EB6"/>
    <w:rsid w:val="008B7F02"/>
    <w:rsid w:val="008C0BBB"/>
    <w:rsid w:val="008C11BE"/>
    <w:rsid w:val="008C1353"/>
    <w:rsid w:val="008C247B"/>
    <w:rsid w:val="008C3978"/>
    <w:rsid w:val="008C7742"/>
    <w:rsid w:val="008D1538"/>
    <w:rsid w:val="008D44EB"/>
    <w:rsid w:val="008D57F4"/>
    <w:rsid w:val="008D5F1C"/>
    <w:rsid w:val="008D7A93"/>
    <w:rsid w:val="008E10D9"/>
    <w:rsid w:val="008E14EA"/>
    <w:rsid w:val="008E1AE0"/>
    <w:rsid w:val="008E1E40"/>
    <w:rsid w:val="008E274B"/>
    <w:rsid w:val="008E29AE"/>
    <w:rsid w:val="008E5857"/>
    <w:rsid w:val="008E6239"/>
    <w:rsid w:val="008E6425"/>
    <w:rsid w:val="008E6BF4"/>
    <w:rsid w:val="008F0F25"/>
    <w:rsid w:val="008F0FA1"/>
    <w:rsid w:val="008F166B"/>
    <w:rsid w:val="008F1949"/>
    <w:rsid w:val="008F28D4"/>
    <w:rsid w:val="008F4E6D"/>
    <w:rsid w:val="008F71ED"/>
    <w:rsid w:val="008F7269"/>
    <w:rsid w:val="008F7418"/>
    <w:rsid w:val="008F7B11"/>
    <w:rsid w:val="00900283"/>
    <w:rsid w:val="009003E6"/>
    <w:rsid w:val="00901854"/>
    <w:rsid w:val="00902AD5"/>
    <w:rsid w:val="00903871"/>
    <w:rsid w:val="009039DC"/>
    <w:rsid w:val="009041DD"/>
    <w:rsid w:val="0090613F"/>
    <w:rsid w:val="009063CC"/>
    <w:rsid w:val="00907081"/>
    <w:rsid w:val="00907A6A"/>
    <w:rsid w:val="00912E48"/>
    <w:rsid w:val="00913124"/>
    <w:rsid w:val="00913A1F"/>
    <w:rsid w:val="009142AE"/>
    <w:rsid w:val="0091459A"/>
    <w:rsid w:val="00914B00"/>
    <w:rsid w:val="00915352"/>
    <w:rsid w:val="009168FA"/>
    <w:rsid w:val="00921461"/>
    <w:rsid w:val="0092161B"/>
    <w:rsid w:val="00921E67"/>
    <w:rsid w:val="00922234"/>
    <w:rsid w:val="00922372"/>
    <w:rsid w:val="0092307B"/>
    <w:rsid w:val="009232D8"/>
    <w:rsid w:val="009234F4"/>
    <w:rsid w:val="00924F5E"/>
    <w:rsid w:val="00925A20"/>
    <w:rsid w:val="00925EAB"/>
    <w:rsid w:val="00932513"/>
    <w:rsid w:val="00932A3B"/>
    <w:rsid w:val="00932CCF"/>
    <w:rsid w:val="009348A1"/>
    <w:rsid w:val="0093563D"/>
    <w:rsid w:val="00936351"/>
    <w:rsid w:val="00942268"/>
    <w:rsid w:val="00942B47"/>
    <w:rsid w:val="00945714"/>
    <w:rsid w:val="00946B11"/>
    <w:rsid w:val="00947751"/>
    <w:rsid w:val="00954C34"/>
    <w:rsid w:val="00955392"/>
    <w:rsid w:val="0095600B"/>
    <w:rsid w:val="00956F21"/>
    <w:rsid w:val="00962DDC"/>
    <w:rsid w:val="00963EFB"/>
    <w:rsid w:val="00965922"/>
    <w:rsid w:val="00966DB4"/>
    <w:rsid w:val="009672DA"/>
    <w:rsid w:val="00971580"/>
    <w:rsid w:val="00972513"/>
    <w:rsid w:val="00973726"/>
    <w:rsid w:val="00973C04"/>
    <w:rsid w:val="00973D7A"/>
    <w:rsid w:val="009746D8"/>
    <w:rsid w:val="00977932"/>
    <w:rsid w:val="00977C41"/>
    <w:rsid w:val="009807F9"/>
    <w:rsid w:val="00981F9E"/>
    <w:rsid w:val="0098318B"/>
    <w:rsid w:val="009833A3"/>
    <w:rsid w:val="00983829"/>
    <w:rsid w:val="009840F6"/>
    <w:rsid w:val="00984238"/>
    <w:rsid w:val="00984291"/>
    <w:rsid w:val="00984868"/>
    <w:rsid w:val="00984983"/>
    <w:rsid w:val="0098697A"/>
    <w:rsid w:val="0098753C"/>
    <w:rsid w:val="00991B1E"/>
    <w:rsid w:val="0099706A"/>
    <w:rsid w:val="00997E6E"/>
    <w:rsid w:val="009A3C16"/>
    <w:rsid w:val="009A5745"/>
    <w:rsid w:val="009A6F6C"/>
    <w:rsid w:val="009B1837"/>
    <w:rsid w:val="009B1FA9"/>
    <w:rsid w:val="009B28B3"/>
    <w:rsid w:val="009B4011"/>
    <w:rsid w:val="009B49FC"/>
    <w:rsid w:val="009B54F9"/>
    <w:rsid w:val="009B5887"/>
    <w:rsid w:val="009B6431"/>
    <w:rsid w:val="009C3830"/>
    <w:rsid w:val="009C6E5B"/>
    <w:rsid w:val="009D0DF1"/>
    <w:rsid w:val="009D15BE"/>
    <w:rsid w:val="009D49D2"/>
    <w:rsid w:val="009D4C5B"/>
    <w:rsid w:val="009D4E9A"/>
    <w:rsid w:val="009D6289"/>
    <w:rsid w:val="009E0525"/>
    <w:rsid w:val="009E173A"/>
    <w:rsid w:val="009E2CED"/>
    <w:rsid w:val="009E3158"/>
    <w:rsid w:val="009E4311"/>
    <w:rsid w:val="009E4421"/>
    <w:rsid w:val="009E7D6C"/>
    <w:rsid w:val="009F0390"/>
    <w:rsid w:val="009F08FC"/>
    <w:rsid w:val="009F1DAC"/>
    <w:rsid w:val="009F1F82"/>
    <w:rsid w:val="009F46AF"/>
    <w:rsid w:val="009F5B3A"/>
    <w:rsid w:val="009F6231"/>
    <w:rsid w:val="009F6BF0"/>
    <w:rsid w:val="009F7D7E"/>
    <w:rsid w:val="00A011A1"/>
    <w:rsid w:val="00A01CF4"/>
    <w:rsid w:val="00A07EE2"/>
    <w:rsid w:val="00A11A1C"/>
    <w:rsid w:val="00A11C30"/>
    <w:rsid w:val="00A12E2C"/>
    <w:rsid w:val="00A134C6"/>
    <w:rsid w:val="00A1367F"/>
    <w:rsid w:val="00A144BA"/>
    <w:rsid w:val="00A15A42"/>
    <w:rsid w:val="00A16483"/>
    <w:rsid w:val="00A1668A"/>
    <w:rsid w:val="00A16EE2"/>
    <w:rsid w:val="00A16F83"/>
    <w:rsid w:val="00A24D49"/>
    <w:rsid w:val="00A3069F"/>
    <w:rsid w:val="00A30D49"/>
    <w:rsid w:val="00A316DA"/>
    <w:rsid w:val="00A3395E"/>
    <w:rsid w:val="00A36E2E"/>
    <w:rsid w:val="00A40614"/>
    <w:rsid w:val="00A40D5D"/>
    <w:rsid w:val="00A40E58"/>
    <w:rsid w:val="00A504B1"/>
    <w:rsid w:val="00A51B6C"/>
    <w:rsid w:val="00A5209A"/>
    <w:rsid w:val="00A52FDB"/>
    <w:rsid w:val="00A56F6C"/>
    <w:rsid w:val="00A60B11"/>
    <w:rsid w:val="00A611D9"/>
    <w:rsid w:val="00A62D3A"/>
    <w:rsid w:val="00A632C3"/>
    <w:rsid w:val="00A6465F"/>
    <w:rsid w:val="00A64AC6"/>
    <w:rsid w:val="00A67733"/>
    <w:rsid w:val="00A70628"/>
    <w:rsid w:val="00A716CD"/>
    <w:rsid w:val="00A71F10"/>
    <w:rsid w:val="00A74188"/>
    <w:rsid w:val="00A76382"/>
    <w:rsid w:val="00A7731E"/>
    <w:rsid w:val="00A81740"/>
    <w:rsid w:val="00A819FB"/>
    <w:rsid w:val="00A84654"/>
    <w:rsid w:val="00A9051E"/>
    <w:rsid w:val="00A90F22"/>
    <w:rsid w:val="00A93731"/>
    <w:rsid w:val="00A95472"/>
    <w:rsid w:val="00A9627E"/>
    <w:rsid w:val="00A96A64"/>
    <w:rsid w:val="00A970DC"/>
    <w:rsid w:val="00A97A98"/>
    <w:rsid w:val="00AA0B98"/>
    <w:rsid w:val="00AA0C1E"/>
    <w:rsid w:val="00AA2FA1"/>
    <w:rsid w:val="00AA39B6"/>
    <w:rsid w:val="00AA60B6"/>
    <w:rsid w:val="00AA62C8"/>
    <w:rsid w:val="00AB04D6"/>
    <w:rsid w:val="00AB1B9A"/>
    <w:rsid w:val="00AB2544"/>
    <w:rsid w:val="00AB376E"/>
    <w:rsid w:val="00AB3C51"/>
    <w:rsid w:val="00AB5AB4"/>
    <w:rsid w:val="00AB6D66"/>
    <w:rsid w:val="00AB6E78"/>
    <w:rsid w:val="00AC51D2"/>
    <w:rsid w:val="00AC5B0B"/>
    <w:rsid w:val="00AC5B85"/>
    <w:rsid w:val="00AD13BF"/>
    <w:rsid w:val="00AD1E31"/>
    <w:rsid w:val="00AD446A"/>
    <w:rsid w:val="00AD66E4"/>
    <w:rsid w:val="00AD6C3F"/>
    <w:rsid w:val="00AD7F9A"/>
    <w:rsid w:val="00AE1501"/>
    <w:rsid w:val="00AE2420"/>
    <w:rsid w:val="00AE261B"/>
    <w:rsid w:val="00AE40F7"/>
    <w:rsid w:val="00AE450B"/>
    <w:rsid w:val="00AE7B96"/>
    <w:rsid w:val="00AF1CB7"/>
    <w:rsid w:val="00AF3DF2"/>
    <w:rsid w:val="00AF408A"/>
    <w:rsid w:val="00AF50F5"/>
    <w:rsid w:val="00AF5640"/>
    <w:rsid w:val="00AF5BBC"/>
    <w:rsid w:val="00B0024D"/>
    <w:rsid w:val="00B01055"/>
    <w:rsid w:val="00B02FD5"/>
    <w:rsid w:val="00B04E7C"/>
    <w:rsid w:val="00B0744B"/>
    <w:rsid w:val="00B10BA6"/>
    <w:rsid w:val="00B11215"/>
    <w:rsid w:val="00B13BAC"/>
    <w:rsid w:val="00B1408E"/>
    <w:rsid w:val="00B145BC"/>
    <w:rsid w:val="00B1570E"/>
    <w:rsid w:val="00B16569"/>
    <w:rsid w:val="00B17229"/>
    <w:rsid w:val="00B20893"/>
    <w:rsid w:val="00B20990"/>
    <w:rsid w:val="00B21D4A"/>
    <w:rsid w:val="00B27B6D"/>
    <w:rsid w:val="00B30401"/>
    <w:rsid w:val="00B3109B"/>
    <w:rsid w:val="00B32794"/>
    <w:rsid w:val="00B34727"/>
    <w:rsid w:val="00B35B83"/>
    <w:rsid w:val="00B37D74"/>
    <w:rsid w:val="00B4027D"/>
    <w:rsid w:val="00B41F6D"/>
    <w:rsid w:val="00B431CF"/>
    <w:rsid w:val="00B439CF"/>
    <w:rsid w:val="00B4422D"/>
    <w:rsid w:val="00B46764"/>
    <w:rsid w:val="00B46ADF"/>
    <w:rsid w:val="00B502DF"/>
    <w:rsid w:val="00B511B3"/>
    <w:rsid w:val="00B5360F"/>
    <w:rsid w:val="00B54555"/>
    <w:rsid w:val="00B546A4"/>
    <w:rsid w:val="00B571CB"/>
    <w:rsid w:val="00B571CE"/>
    <w:rsid w:val="00B61256"/>
    <w:rsid w:val="00B6211B"/>
    <w:rsid w:val="00B6247E"/>
    <w:rsid w:val="00B627B6"/>
    <w:rsid w:val="00B67A5A"/>
    <w:rsid w:val="00B67D86"/>
    <w:rsid w:val="00B71C2B"/>
    <w:rsid w:val="00B72647"/>
    <w:rsid w:val="00B7273B"/>
    <w:rsid w:val="00B72B50"/>
    <w:rsid w:val="00B74BD4"/>
    <w:rsid w:val="00B75E38"/>
    <w:rsid w:val="00B7637B"/>
    <w:rsid w:val="00B811A3"/>
    <w:rsid w:val="00B8150D"/>
    <w:rsid w:val="00B84B4D"/>
    <w:rsid w:val="00B850D6"/>
    <w:rsid w:val="00B85379"/>
    <w:rsid w:val="00B869A4"/>
    <w:rsid w:val="00B876AB"/>
    <w:rsid w:val="00B87ABD"/>
    <w:rsid w:val="00B913C5"/>
    <w:rsid w:val="00B91B1A"/>
    <w:rsid w:val="00B94357"/>
    <w:rsid w:val="00B97A6D"/>
    <w:rsid w:val="00B97B09"/>
    <w:rsid w:val="00BA1FF7"/>
    <w:rsid w:val="00BA3553"/>
    <w:rsid w:val="00BA4452"/>
    <w:rsid w:val="00BA4CB8"/>
    <w:rsid w:val="00BA557E"/>
    <w:rsid w:val="00BA695F"/>
    <w:rsid w:val="00BA7C9E"/>
    <w:rsid w:val="00BB19F7"/>
    <w:rsid w:val="00BB1F51"/>
    <w:rsid w:val="00BB220A"/>
    <w:rsid w:val="00BB285A"/>
    <w:rsid w:val="00BB297C"/>
    <w:rsid w:val="00BB4D83"/>
    <w:rsid w:val="00BB51BA"/>
    <w:rsid w:val="00BB70C9"/>
    <w:rsid w:val="00BC0B21"/>
    <w:rsid w:val="00BC21D6"/>
    <w:rsid w:val="00BC220F"/>
    <w:rsid w:val="00BC2880"/>
    <w:rsid w:val="00BC2A69"/>
    <w:rsid w:val="00BC32E6"/>
    <w:rsid w:val="00BC3D9C"/>
    <w:rsid w:val="00BC40EC"/>
    <w:rsid w:val="00BC44E3"/>
    <w:rsid w:val="00BC6998"/>
    <w:rsid w:val="00BC69F8"/>
    <w:rsid w:val="00BC705B"/>
    <w:rsid w:val="00BC714B"/>
    <w:rsid w:val="00BD3C6C"/>
    <w:rsid w:val="00BD48DC"/>
    <w:rsid w:val="00BE03CD"/>
    <w:rsid w:val="00BE0F47"/>
    <w:rsid w:val="00BE16A1"/>
    <w:rsid w:val="00BE2950"/>
    <w:rsid w:val="00BE2BAC"/>
    <w:rsid w:val="00BE3C6A"/>
    <w:rsid w:val="00BE40B8"/>
    <w:rsid w:val="00BE4B8A"/>
    <w:rsid w:val="00BE59AE"/>
    <w:rsid w:val="00BF02CA"/>
    <w:rsid w:val="00BF3996"/>
    <w:rsid w:val="00BF4DA8"/>
    <w:rsid w:val="00BF4EF8"/>
    <w:rsid w:val="00BF65B6"/>
    <w:rsid w:val="00BF782C"/>
    <w:rsid w:val="00C00CB2"/>
    <w:rsid w:val="00C0173E"/>
    <w:rsid w:val="00C0198B"/>
    <w:rsid w:val="00C01A2D"/>
    <w:rsid w:val="00C01B0B"/>
    <w:rsid w:val="00C0362C"/>
    <w:rsid w:val="00C03DC4"/>
    <w:rsid w:val="00C04D73"/>
    <w:rsid w:val="00C06E91"/>
    <w:rsid w:val="00C11160"/>
    <w:rsid w:val="00C1269B"/>
    <w:rsid w:val="00C134B1"/>
    <w:rsid w:val="00C15559"/>
    <w:rsid w:val="00C15982"/>
    <w:rsid w:val="00C15C51"/>
    <w:rsid w:val="00C15F4B"/>
    <w:rsid w:val="00C173C7"/>
    <w:rsid w:val="00C1797B"/>
    <w:rsid w:val="00C21D6F"/>
    <w:rsid w:val="00C22121"/>
    <w:rsid w:val="00C22F71"/>
    <w:rsid w:val="00C24B58"/>
    <w:rsid w:val="00C25110"/>
    <w:rsid w:val="00C25240"/>
    <w:rsid w:val="00C25A4C"/>
    <w:rsid w:val="00C263AA"/>
    <w:rsid w:val="00C27BC0"/>
    <w:rsid w:val="00C30BD5"/>
    <w:rsid w:val="00C3144C"/>
    <w:rsid w:val="00C316C8"/>
    <w:rsid w:val="00C3277C"/>
    <w:rsid w:val="00C338ED"/>
    <w:rsid w:val="00C33B64"/>
    <w:rsid w:val="00C34423"/>
    <w:rsid w:val="00C36588"/>
    <w:rsid w:val="00C41A6A"/>
    <w:rsid w:val="00C42077"/>
    <w:rsid w:val="00C42BDB"/>
    <w:rsid w:val="00C449EF"/>
    <w:rsid w:val="00C45BA4"/>
    <w:rsid w:val="00C45CBA"/>
    <w:rsid w:val="00C46407"/>
    <w:rsid w:val="00C548FE"/>
    <w:rsid w:val="00C54C07"/>
    <w:rsid w:val="00C60270"/>
    <w:rsid w:val="00C618F0"/>
    <w:rsid w:val="00C64703"/>
    <w:rsid w:val="00C64897"/>
    <w:rsid w:val="00C70386"/>
    <w:rsid w:val="00C71756"/>
    <w:rsid w:val="00C71E34"/>
    <w:rsid w:val="00C72312"/>
    <w:rsid w:val="00C724BF"/>
    <w:rsid w:val="00C727A8"/>
    <w:rsid w:val="00C72CF9"/>
    <w:rsid w:val="00C73347"/>
    <w:rsid w:val="00C7475A"/>
    <w:rsid w:val="00C74BA0"/>
    <w:rsid w:val="00C756A2"/>
    <w:rsid w:val="00C776BF"/>
    <w:rsid w:val="00C77A3D"/>
    <w:rsid w:val="00C77E39"/>
    <w:rsid w:val="00C80550"/>
    <w:rsid w:val="00C81491"/>
    <w:rsid w:val="00C82055"/>
    <w:rsid w:val="00C8385A"/>
    <w:rsid w:val="00C845C2"/>
    <w:rsid w:val="00C84A74"/>
    <w:rsid w:val="00C854F7"/>
    <w:rsid w:val="00C878F0"/>
    <w:rsid w:val="00C928C6"/>
    <w:rsid w:val="00C92CA9"/>
    <w:rsid w:val="00C93935"/>
    <w:rsid w:val="00C939C9"/>
    <w:rsid w:val="00C959ED"/>
    <w:rsid w:val="00C95A6D"/>
    <w:rsid w:val="00C970CE"/>
    <w:rsid w:val="00CA16C8"/>
    <w:rsid w:val="00CA2A14"/>
    <w:rsid w:val="00CA2B60"/>
    <w:rsid w:val="00CA5A65"/>
    <w:rsid w:val="00CA7AA5"/>
    <w:rsid w:val="00CB05C9"/>
    <w:rsid w:val="00CB4647"/>
    <w:rsid w:val="00CB6764"/>
    <w:rsid w:val="00CB70BD"/>
    <w:rsid w:val="00CC22F3"/>
    <w:rsid w:val="00CC3713"/>
    <w:rsid w:val="00CC3DFE"/>
    <w:rsid w:val="00CC3F89"/>
    <w:rsid w:val="00CC76F6"/>
    <w:rsid w:val="00CD080C"/>
    <w:rsid w:val="00CD341F"/>
    <w:rsid w:val="00CD358A"/>
    <w:rsid w:val="00CD40DC"/>
    <w:rsid w:val="00CD5D7F"/>
    <w:rsid w:val="00CE1294"/>
    <w:rsid w:val="00CE1B11"/>
    <w:rsid w:val="00CE1FCB"/>
    <w:rsid w:val="00CE21C6"/>
    <w:rsid w:val="00CE321A"/>
    <w:rsid w:val="00CE592F"/>
    <w:rsid w:val="00CE799B"/>
    <w:rsid w:val="00CF0101"/>
    <w:rsid w:val="00CF0451"/>
    <w:rsid w:val="00CF101C"/>
    <w:rsid w:val="00CF15ED"/>
    <w:rsid w:val="00CF1D02"/>
    <w:rsid w:val="00CF4346"/>
    <w:rsid w:val="00CF5918"/>
    <w:rsid w:val="00D00515"/>
    <w:rsid w:val="00D00D45"/>
    <w:rsid w:val="00D012D7"/>
    <w:rsid w:val="00D01545"/>
    <w:rsid w:val="00D02886"/>
    <w:rsid w:val="00D02A3D"/>
    <w:rsid w:val="00D02BA3"/>
    <w:rsid w:val="00D04E6B"/>
    <w:rsid w:val="00D058F5"/>
    <w:rsid w:val="00D059F7"/>
    <w:rsid w:val="00D05DE3"/>
    <w:rsid w:val="00D06075"/>
    <w:rsid w:val="00D06CE0"/>
    <w:rsid w:val="00D07473"/>
    <w:rsid w:val="00D10375"/>
    <w:rsid w:val="00D10675"/>
    <w:rsid w:val="00D10B25"/>
    <w:rsid w:val="00D1173C"/>
    <w:rsid w:val="00D11968"/>
    <w:rsid w:val="00D11C53"/>
    <w:rsid w:val="00D11EE2"/>
    <w:rsid w:val="00D13731"/>
    <w:rsid w:val="00D14076"/>
    <w:rsid w:val="00D14DB8"/>
    <w:rsid w:val="00D15234"/>
    <w:rsid w:val="00D15B40"/>
    <w:rsid w:val="00D16BC1"/>
    <w:rsid w:val="00D17337"/>
    <w:rsid w:val="00D2030F"/>
    <w:rsid w:val="00D220B3"/>
    <w:rsid w:val="00D23A08"/>
    <w:rsid w:val="00D247C7"/>
    <w:rsid w:val="00D26740"/>
    <w:rsid w:val="00D27E10"/>
    <w:rsid w:val="00D30305"/>
    <w:rsid w:val="00D31F24"/>
    <w:rsid w:val="00D32618"/>
    <w:rsid w:val="00D37177"/>
    <w:rsid w:val="00D4158C"/>
    <w:rsid w:val="00D41F78"/>
    <w:rsid w:val="00D42127"/>
    <w:rsid w:val="00D436BE"/>
    <w:rsid w:val="00D44D58"/>
    <w:rsid w:val="00D45E78"/>
    <w:rsid w:val="00D51199"/>
    <w:rsid w:val="00D54433"/>
    <w:rsid w:val="00D54C2C"/>
    <w:rsid w:val="00D55797"/>
    <w:rsid w:val="00D577BD"/>
    <w:rsid w:val="00D5786C"/>
    <w:rsid w:val="00D61BED"/>
    <w:rsid w:val="00D63D2E"/>
    <w:rsid w:val="00D64706"/>
    <w:rsid w:val="00D6578C"/>
    <w:rsid w:val="00D662F7"/>
    <w:rsid w:val="00D71C27"/>
    <w:rsid w:val="00D71C53"/>
    <w:rsid w:val="00D73293"/>
    <w:rsid w:val="00D7350C"/>
    <w:rsid w:val="00D7450D"/>
    <w:rsid w:val="00D75BE0"/>
    <w:rsid w:val="00D75C26"/>
    <w:rsid w:val="00D75C3D"/>
    <w:rsid w:val="00D76D24"/>
    <w:rsid w:val="00D7777F"/>
    <w:rsid w:val="00D77EE9"/>
    <w:rsid w:val="00D81160"/>
    <w:rsid w:val="00D836E7"/>
    <w:rsid w:val="00D83E4B"/>
    <w:rsid w:val="00D84A90"/>
    <w:rsid w:val="00D8622A"/>
    <w:rsid w:val="00D86D0C"/>
    <w:rsid w:val="00D901DE"/>
    <w:rsid w:val="00D9293B"/>
    <w:rsid w:val="00D92F5A"/>
    <w:rsid w:val="00D938CE"/>
    <w:rsid w:val="00D94091"/>
    <w:rsid w:val="00D94D67"/>
    <w:rsid w:val="00D974A6"/>
    <w:rsid w:val="00D97D88"/>
    <w:rsid w:val="00DA0A88"/>
    <w:rsid w:val="00DA2887"/>
    <w:rsid w:val="00DA6966"/>
    <w:rsid w:val="00DA75D4"/>
    <w:rsid w:val="00DA7B3F"/>
    <w:rsid w:val="00DA7EEC"/>
    <w:rsid w:val="00DB2EC7"/>
    <w:rsid w:val="00DB42EA"/>
    <w:rsid w:val="00DB4482"/>
    <w:rsid w:val="00DB480F"/>
    <w:rsid w:val="00DB4AA0"/>
    <w:rsid w:val="00DB7AF9"/>
    <w:rsid w:val="00DC0D65"/>
    <w:rsid w:val="00DC1EC3"/>
    <w:rsid w:val="00DC22A2"/>
    <w:rsid w:val="00DC50D5"/>
    <w:rsid w:val="00DC7C27"/>
    <w:rsid w:val="00DC7D59"/>
    <w:rsid w:val="00DD19E2"/>
    <w:rsid w:val="00DD1A3E"/>
    <w:rsid w:val="00DD1D17"/>
    <w:rsid w:val="00DD2A30"/>
    <w:rsid w:val="00DD5001"/>
    <w:rsid w:val="00DD755D"/>
    <w:rsid w:val="00DD774A"/>
    <w:rsid w:val="00DE37EC"/>
    <w:rsid w:val="00DE3F4E"/>
    <w:rsid w:val="00DE4A00"/>
    <w:rsid w:val="00DE4A25"/>
    <w:rsid w:val="00DE67BD"/>
    <w:rsid w:val="00DE76C4"/>
    <w:rsid w:val="00DF3C5C"/>
    <w:rsid w:val="00DF5249"/>
    <w:rsid w:val="00DF5E41"/>
    <w:rsid w:val="00DF6B8A"/>
    <w:rsid w:val="00E0021D"/>
    <w:rsid w:val="00E03C0B"/>
    <w:rsid w:val="00E03C48"/>
    <w:rsid w:val="00E05A0D"/>
    <w:rsid w:val="00E05C28"/>
    <w:rsid w:val="00E06575"/>
    <w:rsid w:val="00E072A8"/>
    <w:rsid w:val="00E10589"/>
    <w:rsid w:val="00E14EEC"/>
    <w:rsid w:val="00E1714B"/>
    <w:rsid w:val="00E2154B"/>
    <w:rsid w:val="00E22137"/>
    <w:rsid w:val="00E221E0"/>
    <w:rsid w:val="00E22407"/>
    <w:rsid w:val="00E22A30"/>
    <w:rsid w:val="00E2679B"/>
    <w:rsid w:val="00E27117"/>
    <w:rsid w:val="00E31CA3"/>
    <w:rsid w:val="00E336AA"/>
    <w:rsid w:val="00E33776"/>
    <w:rsid w:val="00E33F1F"/>
    <w:rsid w:val="00E350CC"/>
    <w:rsid w:val="00E35FB5"/>
    <w:rsid w:val="00E40189"/>
    <w:rsid w:val="00E40723"/>
    <w:rsid w:val="00E41193"/>
    <w:rsid w:val="00E41B39"/>
    <w:rsid w:val="00E4299C"/>
    <w:rsid w:val="00E45C8F"/>
    <w:rsid w:val="00E4633A"/>
    <w:rsid w:val="00E46478"/>
    <w:rsid w:val="00E468CA"/>
    <w:rsid w:val="00E505BB"/>
    <w:rsid w:val="00E52226"/>
    <w:rsid w:val="00E52968"/>
    <w:rsid w:val="00E533D1"/>
    <w:rsid w:val="00E53EFF"/>
    <w:rsid w:val="00E5454B"/>
    <w:rsid w:val="00E60BF2"/>
    <w:rsid w:val="00E634A1"/>
    <w:rsid w:val="00E63A69"/>
    <w:rsid w:val="00E64711"/>
    <w:rsid w:val="00E65929"/>
    <w:rsid w:val="00E71001"/>
    <w:rsid w:val="00E74454"/>
    <w:rsid w:val="00E749B2"/>
    <w:rsid w:val="00E749E4"/>
    <w:rsid w:val="00E751F3"/>
    <w:rsid w:val="00E816C7"/>
    <w:rsid w:val="00E8183C"/>
    <w:rsid w:val="00E843D2"/>
    <w:rsid w:val="00E844EA"/>
    <w:rsid w:val="00E847D8"/>
    <w:rsid w:val="00E84D55"/>
    <w:rsid w:val="00E85A9D"/>
    <w:rsid w:val="00E866EA"/>
    <w:rsid w:val="00E91127"/>
    <w:rsid w:val="00E912C3"/>
    <w:rsid w:val="00E94612"/>
    <w:rsid w:val="00E94E10"/>
    <w:rsid w:val="00E97358"/>
    <w:rsid w:val="00EA1285"/>
    <w:rsid w:val="00EA2343"/>
    <w:rsid w:val="00EA317C"/>
    <w:rsid w:val="00EA5FD0"/>
    <w:rsid w:val="00EB01C4"/>
    <w:rsid w:val="00EB0C11"/>
    <w:rsid w:val="00EB1337"/>
    <w:rsid w:val="00EB13E9"/>
    <w:rsid w:val="00EB2E9F"/>
    <w:rsid w:val="00EB42A4"/>
    <w:rsid w:val="00EB5892"/>
    <w:rsid w:val="00EB6647"/>
    <w:rsid w:val="00EC34BE"/>
    <w:rsid w:val="00EC4DBC"/>
    <w:rsid w:val="00EC5D56"/>
    <w:rsid w:val="00EC6419"/>
    <w:rsid w:val="00ED2959"/>
    <w:rsid w:val="00ED594F"/>
    <w:rsid w:val="00EE07FE"/>
    <w:rsid w:val="00EE0B80"/>
    <w:rsid w:val="00EE193F"/>
    <w:rsid w:val="00EE2866"/>
    <w:rsid w:val="00EE30A8"/>
    <w:rsid w:val="00EE3631"/>
    <w:rsid w:val="00EE4062"/>
    <w:rsid w:val="00EE5CAC"/>
    <w:rsid w:val="00EE6CB3"/>
    <w:rsid w:val="00EE7F77"/>
    <w:rsid w:val="00EF0CE0"/>
    <w:rsid w:val="00EF5763"/>
    <w:rsid w:val="00EF5931"/>
    <w:rsid w:val="00EF7C6C"/>
    <w:rsid w:val="00F014D1"/>
    <w:rsid w:val="00F018BE"/>
    <w:rsid w:val="00F01DF6"/>
    <w:rsid w:val="00F02957"/>
    <w:rsid w:val="00F02EB0"/>
    <w:rsid w:val="00F05005"/>
    <w:rsid w:val="00F10049"/>
    <w:rsid w:val="00F102A9"/>
    <w:rsid w:val="00F10DEC"/>
    <w:rsid w:val="00F11B7C"/>
    <w:rsid w:val="00F15514"/>
    <w:rsid w:val="00F2087B"/>
    <w:rsid w:val="00F21133"/>
    <w:rsid w:val="00F21CE9"/>
    <w:rsid w:val="00F21E1E"/>
    <w:rsid w:val="00F24184"/>
    <w:rsid w:val="00F25603"/>
    <w:rsid w:val="00F26AEB"/>
    <w:rsid w:val="00F26E73"/>
    <w:rsid w:val="00F2745F"/>
    <w:rsid w:val="00F2784D"/>
    <w:rsid w:val="00F3043C"/>
    <w:rsid w:val="00F32AF2"/>
    <w:rsid w:val="00F33666"/>
    <w:rsid w:val="00F34B00"/>
    <w:rsid w:val="00F3605B"/>
    <w:rsid w:val="00F36E5C"/>
    <w:rsid w:val="00F374E7"/>
    <w:rsid w:val="00F41F42"/>
    <w:rsid w:val="00F4319E"/>
    <w:rsid w:val="00F4541A"/>
    <w:rsid w:val="00F45426"/>
    <w:rsid w:val="00F466AD"/>
    <w:rsid w:val="00F47A6A"/>
    <w:rsid w:val="00F510E2"/>
    <w:rsid w:val="00F534B9"/>
    <w:rsid w:val="00F53D3D"/>
    <w:rsid w:val="00F53F99"/>
    <w:rsid w:val="00F542A5"/>
    <w:rsid w:val="00F55BB7"/>
    <w:rsid w:val="00F60B21"/>
    <w:rsid w:val="00F60FCB"/>
    <w:rsid w:val="00F61124"/>
    <w:rsid w:val="00F62EAF"/>
    <w:rsid w:val="00F64C2C"/>
    <w:rsid w:val="00F67365"/>
    <w:rsid w:val="00F700D7"/>
    <w:rsid w:val="00F72906"/>
    <w:rsid w:val="00F7352C"/>
    <w:rsid w:val="00F73D97"/>
    <w:rsid w:val="00F75043"/>
    <w:rsid w:val="00F7659A"/>
    <w:rsid w:val="00F80774"/>
    <w:rsid w:val="00F821FC"/>
    <w:rsid w:val="00F83865"/>
    <w:rsid w:val="00F90152"/>
    <w:rsid w:val="00F9054B"/>
    <w:rsid w:val="00F929A4"/>
    <w:rsid w:val="00F93154"/>
    <w:rsid w:val="00F9315C"/>
    <w:rsid w:val="00F93C54"/>
    <w:rsid w:val="00F93E00"/>
    <w:rsid w:val="00F947E7"/>
    <w:rsid w:val="00F95041"/>
    <w:rsid w:val="00F950C0"/>
    <w:rsid w:val="00FA02DE"/>
    <w:rsid w:val="00FA342B"/>
    <w:rsid w:val="00FA4285"/>
    <w:rsid w:val="00FA5586"/>
    <w:rsid w:val="00FA7157"/>
    <w:rsid w:val="00FA7168"/>
    <w:rsid w:val="00FB0B54"/>
    <w:rsid w:val="00FB254E"/>
    <w:rsid w:val="00FB3A28"/>
    <w:rsid w:val="00FB54F3"/>
    <w:rsid w:val="00FB65A3"/>
    <w:rsid w:val="00FB74C0"/>
    <w:rsid w:val="00FC316F"/>
    <w:rsid w:val="00FC4ED9"/>
    <w:rsid w:val="00FC5383"/>
    <w:rsid w:val="00FC5B6A"/>
    <w:rsid w:val="00FC7EC0"/>
    <w:rsid w:val="00FD25F8"/>
    <w:rsid w:val="00FD2DAB"/>
    <w:rsid w:val="00FD30AB"/>
    <w:rsid w:val="00FD3AB1"/>
    <w:rsid w:val="00FD519A"/>
    <w:rsid w:val="00FD5AA4"/>
    <w:rsid w:val="00FD6D39"/>
    <w:rsid w:val="00FD7FC3"/>
    <w:rsid w:val="00FE0AB1"/>
    <w:rsid w:val="00FE1335"/>
    <w:rsid w:val="00FE1462"/>
    <w:rsid w:val="00FE2E2A"/>
    <w:rsid w:val="00FE4596"/>
    <w:rsid w:val="00FE6B0C"/>
    <w:rsid w:val="00FF3540"/>
    <w:rsid w:val="00FF3BC6"/>
    <w:rsid w:val="00FF45F7"/>
    <w:rsid w:val="00FF5D17"/>
    <w:rsid w:val="00FF6355"/>
    <w:rsid w:val="00FF7323"/>
    <w:rsid w:val="00FF76D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2">
    <w:name w:val="heading 2"/>
    <w:basedOn w:val="Normal"/>
    <w:next w:val="Normal"/>
    <w:qFormat/>
    <w:rsid w:val="00B46764"/>
    <w:pPr>
      <w:keepNext/>
      <w:pBdr>
        <w:bottom w:val="single" w:sz="4" w:space="1" w:color="auto"/>
      </w:pBdr>
      <w:spacing w:line="480" w:lineRule="auto"/>
      <w:ind w:firstLine="720"/>
      <w:outlineLvl w:val="1"/>
    </w:pPr>
    <w:rPr>
      <w:i/>
      <w:iCs/>
    </w:rPr>
  </w:style>
  <w:style w:type="paragraph" w:styleId="Heading3">
    <w:name w:val="heading 3"/>
    <w:basedOn w:val="Normal"/>
    <w:qFormat/>
    <w:rsid w:val="000538A2"/>
    <w:pPr>
      <w:spacing w:after="150"/>
      <w:outlineLvl w:val="2"/>
    </w:pPr>
    <w:rPr>
      <w:b/>
      <w:bCs/>
      <w:sz w:val="23"/>
      <w:szCs w:val="23"/>
    </w:rPr>
  </w:style>
  <w:style w:type="paragraph" w:styleId="Heading4">
    <w:name w:val="heading 4"/>
    <w:basedOn w:val="Heading2"/>
    <w:next w:val="Normal"/>
    <w:qFormat/>
    <w:rsid w:val="00484082"/>
    <w:pPr>
      <w:keepLines/>
      <w:pBdr>
        <w:bottom w:val="none" w:sz="0" w:space="0" w:color="auto"/>
      </w:pBdr>
      <w:spacing w:before="240" w:line="480" w:lineRule="exact"/>
      <w:ind w:right="2880" w:firstLine="0"/>
      <w:outlineLvl w:val="3"/>
    </w:pPr>
    <w:rPr>
      <w:i w:val="0"/>
      <w:iCs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B5BC6"/>
    <w:pPr>
      <w:spacing w:before="100" w:beforeAutospacing="1" w:after="100" w:afterAutospacing="1"/>
    </w:pPr>
    <w:rPr>
      <w:rFonts w:ascii="Arial" w:hAnsi="Arial" w:cs="Arial"/>
      <w:color w:val="000000"/>
      <w:sz w:val="12"/>
      <w:szCs w:val="12"/>
    </w:rPr>
  </w:style>
  <w:style w:type="paragraph" w:styleId="Header">
    <w:name w:val="header"/>
    <w:basedOn w:val="Normal"/>
    <w:link w:val="HeaderChar"/>
    <w:uiPriority w:val="99"/>
    <w:rsid w:val="00921461"/>
    <w:pPr>
      <w:tabs>
        <w:tab w:val="center" w:pos="4320"/>
        <w:tab w:val="right" w:pos="8640"/>
      </w:tabs>
    </w:pPr>
  </w:style>
  <w:style w:type="paragraph" w:styleId="Footer">
    <w:name w:val="footer"/>
    <w:basedOn w:val="Normal"/>
    <w:rsid w:val="00A62D3A"/>
    <w:pPr>
      <w:tabs>
        <w:tab w:val="center" w:pos="4320"/>
        <w:tab w:val="right" w:pos="8640"/>
      </w:tabs>
    </w:pPr>
  </w:style>
  <w:style w:type="table" w:styleId="TableGrid">
    <w:name w:val="Table Grid"/>
    <w:basedOn w:val="TableNormal"/>
    <w:rsid w:val="00E21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46F5F"/>
  </w:style>
  <w:style w:type="character" w:styleId="CommentReference">
    <w:name w:val="annotation reference"/>
    <w:basedOn w:val="DefaultParagraphFont"/>
    <w:semiHidden/>
    <w:rsid w:val="00151D74"/>
    <w:rPr>
      <w:sz w:val="16"/>
    </w:rPr>
  </w:style>
  <w:style w:type="paragraph" w:styleId="CommentText">
    <w:name w:val="annotation text"/>
    <w:basedOn w:val="Normal"/>
    <w:semiHidden/>
    <w:rsid w:val="00151D74"/>
    <w:pPr>
      <w:spacing w:line="480" w:lineRule="auto"/>
    </w:pPr>
    <w:rPr>
      <w:sz w:val="20"/>
      <w:szCs w:val="20"/>
    </w:rPr>
  </w:style>
  <w:style w:type="paragraph" w:styleId="BalloonText">
    <w:name w:val="Balloon Text"/>
    <w:basedOn w:val="Normal"/>
    <w:semiHidden/>
    <w:rsid w:val="00151D74"/>
    <w:rPr>
      <w:rFonts w:ascii="Tahoma" w:hAnsi="Tahoma" w:cs="Tahoma"/>
      <w:sz w:val="16"/>
      <w:szCs w:val="16"/>
    </w:rPr>
  </w:style>
  <w:style w:type="paragraph" w:styleId="HTMLPreformatted">
    <w:name w:val="HTML Preformatted"/>
    <w:basedOn w:val="Normal"/>
    <w:rsid w:val="00D371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CommentSubject">
    <w:name w:val="annotation subject"/>
    <w:basedOn w:val="CommentText"/>
    <w:next w:val="CommentText"/>
    <w:semiHidden/>
    <w:rsid w:val="00D16BC1"/>
    <w:pPr>
      <w:spacing w:line="240" w:lineRule="auto"/>
    </w:pPr>
    <w:rPr>
      <w:b/>
      <w:bCs/>
    </w:rPr>
  </w:style>
  <w:style w:type="paragraph" w:customStyle="1" w:styleId="Referencepara">
    <w:name w:val="Reference para"/>
    <w:basedOn w:val="Normal"/>
    <w:rsid w:val="00484082"/>
    <w:pPr>
      <w:keepLines/>
      <w:spacing w:before="240" w:line="240" w:lineRule="exact"/>
      <w:ind w:left="360" w:hanging="360"/>
    </w:pPr>
    <w:rPr>
      <w:szCs w:val="20"/>
    </w:rPr>
  </w:style>
  <w:style w:type="character" w:styleId="Strong">
    <w:name w:val="Strong"/>
    <w:basedOn w:val="DefaultParagraphFont"/>
    <w:uiPriority w:val="22"/>
    <w:qFormat/>
    <w:rsid w:val="00E52968"/>
    <w:rPr>
      <w:b/>
      <w:bCs/>
    </w:rPr>
  </w:style>
  <w:style w:type="character" w:styleId="Hyperlink">
    <w:name w:val="Hyperlink"/>
    <w:basedOn w:val="DefaultParagraphFont"/>
    <w:rsid w:val="000538A2"/>
    <w:rPr>
      <w:color w:val="000066"/>
      <w:u w:val="single"/>
    </w:rPr>
  </w:style>
  <w:style w:type="paragraph" w:styleId="DocumentMap">
    <w:name w:val="Document Map"/>
    <w:basedOn w:val="Normal"/>
    <w:semiHidden/>
    <w:rsid w:val="00186EB2"/>
    <w:pPr>
      <w:shd w:val="clear" w:color="auto" w:fill="000080"/>
    </w:pPr>
    <w:rPr>
      <w:rFonts w:ascii="Tahoma" w:hAnsi="Tahoma" w:cs="Tahoma"/>
      <w:sz w:val="20"/>
      <w:szCs w:val="20"/>
    </w:rPr>
  </w:style>
  <w:style w:type="character" w:customStyle="1" w:styleId="medium-font1">
    <w:name w:val="medium-font1"/>
    <w:basedOn w:val="DefaultParagraphFont"/>
    <w:rsid w:val="00A7731E"/>
    <w:rPr>
      <w:sz w:val="19"/>
      <w:szCs w:val="19"/>
      <w:bdr w:val="none" w:sz="0" w:space="0" w:color="auto" w:frame="1"/>
      <w:shd w:val="clear" w:color="auto" w:fill="FFFFFF"/>
    </w:rPr>
  </w:style>
  <w:style w:type="paragraph" w:customStyle="1" w:styleId="Default">
    <w:name w:val="Default"/>
    <w:rsid w:val="002E0913"/>
    <w:pPr>
      <w:autoSpaceDE w:val="0"/>
      <w:autoSpaceDN w:val="0"/>
      <w:adjustRightInd w:val="0"/>
    </w:pPr>
    <w:rPr>
      <w:color w:val="000000"/>
      <w:sz w:val="24"/>
      <w:szCs w:val="24"/>
    </w:rPr>
  </w:style>
  <w:style w:type="character" w:customStyle="1" w:styleId="apple-style-span">
    <w:name w:val="apple-style-span"/>
    <w:basedOn w:val="DefaultParagraphFont"/>
    <w:rsid w:val="00856A22"/>
  </w:style>
  <w:style w:type="character" w:customStyle="1" w:styleId="apple-converted-space">
    <w:name w:val="apple-converted-space"/>
    <w:basedOn w:val="DefaultParagraphFont"/>
    <w:rsid w:val="00856A22"/>
  </w:style>
  <w:style w:type="character" w:customStyle="1" w:styleId="A4">
    <w:name w:val="A4"/>
    <w:uiPriority w:val="99"/>
    <w:rsid w:val="00B571CB"/>
    <w:rPr>
      <w:rFonts w:cs="Scala Sans"/>
      <w:color w:val="221E1F"/>
      <w:sz w:val="10"/>
      <w:szCs w:val="10"/>
    </w:rPr>
  </w:style>
  <w:style w:type="paragraph" w:styleId="Revision">
    <w:name w:val="Revision"/>
    <w:hidden/>
    <w:uiPriority w:val="99"/>
    <w:semiHidden/>
    <w:rsid w:val="00715729"/>
    <w:rPr>
      <w:sz w:val="24"/>
      <w:szCs w:val="24"/>
    </w:rPr>
  </w:style>
  <w:style w:type="character" w:styleId="HTMLCite">
    <w:name w:val="HTML Cite"/>
    <w:basedOn w:val="DefaultParagraphFont"/>
    <w:uiPriority w:val="99"/>
    <w:semiHidden/>
    <w:unhideWhenUsed/>
    <w:rsid w:val="007F4EE1"/>
    <w:rPr>
      <w:i w:val="0"/>
      <w:iCs w:val="0"/>
      <w:color w:val="388222"/>
    </w:rPr>
  </w:style>
  <w:style w:type="character" w:customStyle="1" w:styleId="slug-metadata-note3">
    <w:name w:val="slug-metadata-note3"/>
    <w:basedOn w:val="DefaultParagraphFont"/>
    <w:rsid w:val="007F4EE1"/>
    <w:rPr>
      <w:vanish w:val="0"/>
      <w:webHidden w:val="0"/>
      <w:specVanish w:val="0"/>
    </w:rPr>
  </w:style>
  <w:style w:type="character" w:customStyle="1" w:styleId="slug-doi">
    <w:name w:val="slug-doi"/>
    <w:basedOn w:val="DefaultParagraphFont"/>
    <w:rsid w:val="007F4EE1"/>
  </w:style>
  <w:style w:type="character" w:customStyle="1" w:styleId="HeaderChar">
    <w:name w:val="Header Char"/>
    <w:basedOn w:val="DefaultParagraphFont"/>
    <w:link w:val="Header"/>
    <w:uiPriority w:val="99"/>
    <w:rsid w:val="00073295"/>
    <w:rPr>
      <w:sz w:val="24"/>
      <w:szCs w:val="24"/>
    </w:rPr>
  </w:style>
  <w:style w:type="character" w:customStyle="1" w:styleId="addmd">
    <w:name w:val="addmd"/>
    <w:basedOn w:val="DefaultParagraphFont"/>
    <w:rsid w:val="00455A5C"/>
  </w:style>
  <w:style w:type="character" w:styleId="Emphasis">
    <w:name w:val="Emphasis"/>
    <w:basedOn w:val="DefaultParagraphFont"/>
    <w:uiPriority w:val="20"/>
    <w:qFormat/>
    <w:rsid w:val="004D637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2">
    <w:name w:val="heading 2"/>
    <w:basedOn w:val="Normal"/>
    <w:next w:val="Normal"/>
    <w:qFormat/>
    <w:rsid w:val="00B46764"/>
    <w:pPr>
      <w:keepNext/>
      <w:pBdr>
        <w:bottom w:val="single" w:sz="4" w:space="1" w:color="auto"/>
      </w:pBdr>
      <w:spacing w:line="480" w:lineRule="auto"/>
      <w:ind w:firstLine="720"/>
      <w:outlineLvl w:val="1"/>
    </w:pPr>
    <w:rPr>
      <w:i/>
      <w:iCs/>
    </w:rPr>
  </w:style>
  <w:style w:type="paragraph" w:styleId="Heading3">
    <w:name w:val="heading 3"/>
    <w:basedOn w:val="Normal"/>
    <w:qFormat/>
    <w:rsid w:val="000538A2"/>
    <w:pPr>
      <w:spacing w:after="150"/>
      <w:outlineLvl w:val="2"/>
    </w:pPr>
    <w:rPr>
      <w:b/>
      <w:bCs/>
      <w:sz w:val="23"/>
      <w:szCs w:val="23"/>
    </w:rPr>
  </w:style>
  <w:style w:type="paragraph" w:styleId="Heading4">
    <w:name w:val="heading 4"/>
    <w:basedOn w:val="Heading2"/>
    <w:next w:val="Normal"/>
    <w:qFormat/>
    <w:rsid w:val="00484082"/>
    <w:pPr>
      <w:keepLines/>
      <w:pBdr>
        <w:bottom w:val="none" w:sz="0" w:space="0" w:color="auto"/>
      </w:pBdr>
      <w:spacing w:before="240" w:line="480" w:lineRule="exact"/>
      <w:ind w:right="2880" w:firstLine="0"/>
      <w:outlineLvl w:val="3"/>
    </w:pPr>
    <w:rPr>
      <w:i w:val="0"/>
      <w:iCs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B5BC6"/>
    <w:pPr>
      <w:spacing w:before="100" w:beforeAutospacing="1" w:after="100" w:afterAutospacing="1"/>
    </w:pPr>
    <w:rPr>
      <w:rFonts w:ascii="Arial" w:hAnsi="Arial" w:cs="Arial"/>
      <w:color w:val="000000"/>
      <w:sz w:val="12"/>
      <w:szCs w:val="12"/>
    </w:rPr>
  </w:style>
  <w:style w:type="paragraph" w:styleId="Header">
    <w:name w:val="header"/>
    <w:basedOn w:val="Normal"/>
    <w:link w:val="HeaderChar"/>
    <w:uiPriority w:val="99"/>
    <w:rsid w:val="00921461"/>
    <w:pPr>
      <w:tabs>
        <w:tab w:val="center" w:pos="4320"/>
        <w:tab w:val="right" w:pos="8640"/>
      </w:tabs>
    </w:pPr>
  </w:style>
  <w:style w:type="paragraph" w:styleId="Footer">
    <w:name w:val="footer"/>
    <w:basedOn w:val="Normal"/>
    <w:rsid w:val="00A62D3A"/>
    <w:pPr>
      <w:tabs>
        <w:tab w:val="center" w:pos="4320"/>
        <w:tab w:val="right" w:pos="8640"/>
      </w:tabs>
    </w:pPr>
  </w:style>
  <w:style w:type="table" w:styleId="TableGrid">
    <w:name w:val="Table Grid"/>
    <w:basedOn w:val="TableNormal"/>
    <w:rsid w:val="00E21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46F5F"/>
  </w:style>
  <w:style w:type="character" w:styleId="CommentReference">
    <w:name w:val="annotation reference"/>
    <w:basedOn w:val="DefaultParagraphFont"/>
    <w:semiHidden/>
    <w:rsid w:val="00151D74"/>
    <w:rPr>
      <w:sz w:val="16"/>
    </w:rPr>
  </w:style>
  <w:style w:type="paragraph" w:styleId="CommentText">
    <w:name w:val="annotation text"/>
    <w:basedOn w:val="Normal"/>
    <w:semiHidden/>
    <w:rsid w:val="00151D74"/>
    <w:pPr>
      <w:spacing w:line="480" w:lineRule="auto"/>
    </w:pPr>
    <w:rPr>
      <w:sz w:val="20"/>
      <w:szCs w:val="20"/>
    </w:rPr>
  </w:style>
  <w:style w:type="paragraph" w:styleId="BalloonText">
    <w:name w:val="Balloon Text"/>
    <w:basedOn w:val="Normal"/>
    <w:semiHidden/>
    <w:rsid w:val="00151D74"/>
    <w:rPr>
      <w:rFonts w:ascii="Tahoma" w:hAnsi="Tahoma" w:cs="Tahoma"/>
      <w:sz w:val="16"/>
      <w:szCs w:val="16"/>
    </w:rPr>
  </w:style>
  <w:style w:type="paragraph" w:styleId="HTMLPreformatted">
    <w:name w:val="HTML Preformatted"/>
    <w:basedOn w:val="Normal"/>
    <w:rsid w:val="00D371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CommentSubject">
    <w:name w:val="annotation subject"/>
    <w:basedOn w:val="CommentText"/>
    <w:next w:val="CommentText"/>
    <w:semiHidden/>
    <w:rsid w:val="00D16BC1"/>
    <w:pPr>
      <w:spacing w:line="240" w:lineRule="auto"/>
    </w:pPr>
    <w:rPr>
      <w:b/>
      <w:bCs/>
    </w:rPr>
  </w:style>
  <w:style w:type="paragraph" w:customStyle="1" w:styleId="Referencepara">
    <w:name w:val="Reference para"/>
    <w:basedOn w:val="Normal"/>
    <w:rsid w:val="00484082"/>
    <w:pPr>
      <w:keepLines/>
      <w:spacing w:before="240" w:line="240" w:lineRule="exact"/>
      <w:ind w:left="360" w:hanging="360"/>
    </w:pPr>
    <w:rPr>
      <w:szCs w:val="20"/>
    </w:rPr>
  </w:style>
  <w:style w:type="character" w:styleId="Strong">
    <w:name w:val="Strong"/>
    <w:basedOn w:val="DefaultParagraphFont"/>
    <w:uiPriority w:val="22"/>
    <w:qFormat/>
    <w:rsid w:val="00E52968"/>
    <w:rPr>
      <w:b/>
      <w:bCs/>
    </w:rPr>
  </w:style>
  <w:style w:type="character" w:styleId="Hyperlink">
    <w:name w:val="Hyperlink"/>
    <w:basedOn w:val="DefaultParagraphFont"/>
    <w:rsid w:val="000538A2"/>
    <w:rPr>
      <w:color w:val="000066"/>
      <w:u w:val="single"/>
    </w:rPr>
  </w:style>
  <w:style w:type="paragraph" w:styleId="DocumentMap">
    <w:name w:val="Document Map"/>
    <w:basedOn w:val="Normal"/>
    <w:semiHidden/>
    <w:rsid w:val="00186EB2"/>
    <w:pPr>
      <w:shd w:val="clear" w:color="auto" w:fill="000080"/>
    </w:pPr>
    <w:rPr>
      <w:rFonts w:ascii="Tahoma" w:hAnsi="Tahoma" w:cs="Tahoma"/>
      <w:sz w:val="20"/>
      <w:szCs w:val="20"/>
    </w:rPr>
  </w:style>
  <w:style w:type="character" w:customStyle="1" w:styleId="medium-font1">
    <w:name w:val="medium-font1"/>
    <w:basedOn w:val="DefaultParagraphFont"/>
    <w:rsid w:val="00A7731E"/>
    <w:rPr>
      <w:sz w:val="19"/>
      <w:szCs w:val="19"/>
      <w:bdr w:val="none" w:sz="0" w:space="0" w:color="auto" w:frame="1"/>
      <w:shd w:val="clear" w:color="auto" w:fill="FFFFFF"/>
    </w:rPr>
  </w:style>
  <w:style w:type="paragraph" w:customStyle="1" w:styleId="Default">
    <w:name w:val="Default"/>
    <w:rsid w:val="002E0913"/>
    <w:pPr>
      <w:autoSpaceDE w:val="0"/>
      <w:autoSpaceDN w:val="0"/>
      <w:adjustRightInd w:val="0"/>
    </w:pPr>
    <w:rPr>
      <w:color w:val="000000"/>
      <w:sz w:val="24"/>
      <w:szCs w:val="24"/>
    </w:rPr>
  </w:style>
  <w:style w:type="character" w:customStyle="1" w:styleId="apple-style-span">
    <w:name w:val="apple-style-span"/>
    <w:basedOn w:val="DefaultParagraphFont"/>
    <w:rsid w:val="00856A22"/>
  </w:style>
  <w:style w:type="character" w:customStyle="1" w:styleId="apple-converted-space">
    <w:name w:val="apple-converted-space"/>
    <w:basedOn w:val="DefaultParagraphFont"/>
    <w:rsid w:val="00856A22"/>
  </w:style>
  <w:style w:type="character" w:customStyle="1" w:styleId="A4">
    <w:name w:val="A4"/>
    <w:uiPriority w:val="99"/>
    <w:rsid w:val="00B571CB"/>
    <w:rPr>
      <w:rFonts w:cs="Scala Sans"/>
      <w:color w:val="221E1F"/>
      <w:sz w:val="10"/>
      <w:szCs w:val="10"/>
    </w:rPr>
  </w:style>
  <w:style w:type="paragraph" w:styleId="Revision">
    <w:name w:val="Revision"/>
    <w:hidden/>
    <w:uiPriority w:val="99"/>
    <w:semiHidden/>
    <w:rsid w:val="00715729"/>
    <w:rPr>
      <w:sz w:val="24"/>
      <w:szCs w:val="24"/>
    </w:rPr>
  </w:style>
  <w:style w:type="character" w:styleId="HTMLCite">
    <w:name w:val="HTML Cite"/>
    <w:basedOn w:val="DefaultParagraphFont"/>
    <w:uiPriority w:val="99"/>
    <w:semiHidden/>
    <w:unhideWhenUsed/>
    <w:rsid w:val="007F4EE1"/>
    <w:rPr>
      <w:i w:val="0"/>
      <w:iCs w:val="0"/>
      <w:color w:val="388222"/>
    </w:rPr>
  </w:style>
  <w:style w:type="character" w:customStyle="1" w:styleId="slug-metadata-note3">
    <w:name w:val="slug-metadata-note3"/>
    <w:basedOn w:val="DefaultParagraphFont"/>
    <w:rsid w:val="007F4EE1"/>
    <w:rPr>
      <w:vanish w:val="0"/>
      <w:webHidden w:val="0"/>
      <w:specVanish w:val="0"/>
    </w:rPr>
  </w:style>
  <w:style w:type="character" w:customStyle="1" w:styleId="slug-doi">
    <w:name w:val="slug-doi"/>
    <w:basedOn w:val="DefaultParagraphFont"/>
    <w:rsid w:val="007F4EE1"/>
  </w:style>
  <w:style w:type="character" w:customStyle="1" w:styleId="HeaderChar">
    <w:name w:val="Header Char"/>
    <w:basedOn w:val="DefaultParagraphFont"/>
    <w:link w:val="Header"/>
    <w:uiPriority w:val="99"/>
    <w:rsid w:val="00073295"/>
    <w:rPr>
      <w:sz w:val="24"/>
      <w:szCs w:val="24"/>
    </w:rPr>
  </w:style>
  <w:style w:type="character" w:customStyle="1" w:styleId="addmd">
    <w:name w:val="addmd"/>
    <w:basedOn w:val="DefaultParagraphFont"/>
    <w:rsid w:val="00455A5C"/>
  </w:style>
  <w:style w:type="character" w:styleId="Emphasis">
    <w:name w:val="Emphasis"/>
    <w:basedOn w:val="DefaultParagraphFont"/>
    <w:uiPriority w:val="20"/>
    <w:qFormat/>
    <w:rsid w:val="004D63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24311">
      <w:bodyDiv w:val="1"/>
      <w:marLeft w:val="0"/>
      <w:marRight w:val="0"/>
      <w:marTop w:val="0"/>
      <w:marBottom w:val="0"/>
      <w:divBdr>
        <w:top w:val="none" w:sz="0" w:space="0" w:color="auto"/>
        <w:left w:val="none" w:sz="0" w:space="0" w:color="auto"/>
        <w:bottom w:val="none" w:sz="0" w:space="0" w:color="auto"/>
        <w:right w:val="none" w:sz="0" w:space="0" w:color="auto"/>
      </w:divBdr>
    </w:div>
    <w:div w:id="392848225">
      <w:bodyDiv w:val="1"/>
      <w:marLeft w:val="0"/>
      <w:marRight w:val="0"/>
      <w:marTop w:val="0"/>
      <w:marBottom w:val="0"/>
      <w:divBdr>
        <w:top w:val="none" w:sz="0" w:space="0" w:color="auto"/>
        <w:left w:val="none" w:sz="0" w:space="0" w:color="auto"/>
        <w:bottom w:val="none" w:sz="0" w:space="0" w:color="auto"/>
        <w:right w:val="none" w:sz="0" w:space="0" w:color="auto"/>
      </w:divBdr>
      <w:divsChild>
        <w:div w:id="600645882">
          <w:marLeft w:val="0"/>
          <w:marRight w:val="0"/>
          <w:marTop w:val="0"/>
          <w:marBottom w:val="0"/>
          <w:divBdr>
            <w:top w:val="none" w:sz="0" w:space="0" w:color="auto"/>
            <w:left w:val="none" w:sz="0" w:space="0" w:color="auto"/>
            <w:bottom w:val="none" w:sz="0" w:space="0" w:color="auto"/>
            <w:right w:val="none" w:sz="0" w:space="0" w:color="auto"/>
          </w:divBdr>
        </w:div>
      </w:divsChild>
    </w:div>
    <w:div w:id="458569674">
      <w:bodyDiv w:val="1"/>
      <w:marLeft w:val="0"/>
      <w:marRight w:val="0"/>
      <w:marTop w:val="0"/>
      <w:marBottom w:val="0"/>
      <w:divBdr>
        <w:top w:val="none" w:sz="0" w:space="0" w:color="auto"/>
        <w:left w:val="none" w:sz="0" w:space="0" w:color="auto"/>
        <w:bottom w:val="none" w:sz="0" w:space="0" w:color="auto"/>
        <w:right w:val="none" w:sz="0" w:space="0" w:color="auto"/>
      </w:divBdr>
      <w:divsChild>
        <w:div w:id="36593458">
          <w:marLeft w:val="0"/>
          <w:marRight w:val="0"/>
          <w:marTop w:val="0"/>
          <w:marBottom w:val="0"/>
          <w:divBdr>
            <w:top w:val="none" w:sz="0" w:space="0" w:color="auto"/>
            <w:left w:val="none" w:sz="0" w:space="0" w:color="auto"/>
            <w:bottom w:val="none" w:sz="0" w:space="0" w:color="auto"/>
            <w:right w:val="none" w:sz="0" w:space="0" w:color="auto"/>
          </w:divBdr>
          <w:divsChild>
            <w:div w:id="504319612">
              <w:marLeft w:val="0"/>
              <w:marRight w:val="0"/>
              <w:marTop w:val="0"/>
              <w:marBottom w:val="0"/>
              <w:divBdr>
                <w:top w:val="none" w:sz="0" w:space="0" w:color="auto"/>
                <w:left w:val="single" w:sz="6" w:space="0" w:color="E2E2E2"/>
                <w:bottom w:val="none" w:sz="0" w:space="0" w:color="auto"/>
                <w:right w:val="single" w:sz="6" w:space="0" w:color="E2E2E2"/>
              </w:divBdr>
              <w:divsChild>
                <w:div w:id="1456412961">
                  <w:marLeft w:val="0"/>
                  <w:marRight w:val="0"/>
                  <w:marTop w:val="0"/>
                  <w:marBottom w:val="0"/>
                  <w:divBdr>
                    <w:top w:val="none" w:sz="0" w:space="0" w:color="auto"/>
                    <w:left w:val="none" w:sz="0" w:space="0" w:color="auto"/>
                    <w:bottom w:val="none" w:sz="0" w:space="0" w:color="auto"/>
                    <w:right w:val="none" w:sz="0" w:space="0" w:color="auto"/>
                  </w:divBdr>
                  <w:divsChild>
                    <w:div w:id="908342936">
                      <w:marLeft w:val="0"/>
                      <w:marRight w:val="0"/>
                      <w:marTop w:val="0"/>
                      <w:marBottom w:val="0"/>
                      <w:divBdr>
                        <w:top w:val="none" w:sz="0" w:space="0" w:color="auto"/>
                        <w:left w:val="none" w:sz="0" w:space="0" w:color="auto"/>
                        <w:bottom w:val="none" w:sz="0" w:space="0" w:color="auto"/>
                        <w:right w:val="none" w:sz="0" w:space="0" w:color="auto"/>
                      </w:divBdr>
                      <w:divsChild>
                        <w:div w:id="1717850449">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46933450">
      <w:bodyDiv w:val="1"/>
      <w:marLeft w:val="0"/>
      <w:marRight w:val="0"/>
      <w:marTop w:val="0"/>
      <w:marBottom w:val="0"/>
      <w:divBdr>
        <w:top w:val="none" w:sz="0" w:space="0" w:color="auto"/>
        <w:left w:val="none" w:sz="0" w:space="0" w:color="auto"/>
        <w:bottom w:val="none" w:sz="0" w:space="0" w:color="auto"/>
        <w:right w:val="none" w:sz="0" w:space="0" w:color="auto"/>
      </w:divBdr>
    </w:div>
    <w:div w:id="699940205">
      <w:bodyDiv w:val="1"/>
      <w:marLeft w:val="0"/>
      <w:marRight w:val="0"/>
      <w:marTop w:val="0"/>
      <w:marBottom w:val="0"/>
      <w:divBdr>
        <w:top w:val="none" w:sz="0" w:space="0" w:color="auto"/>
        <w:left w:val="none" w:sz="0" w:space="0" w:color="auto"/>
        <w:bottom w:val="none" w:sz="0" w:space="0" w:color="auto"/>
        <w:right w:val="none" w:sz="0" w:space="0" w:color="auto"/>
      </w:divBdr>
      <w:divsChild>
        <w:div w:id="604118616">
          <w:marLeft w:val="0"/>
          <w:marRight w:val="0"/>
          <w:marTop w:val="0"/>
          <w:marBottom w:val="0"/>
          <w:divBdr>
            <w:top w:val="none" w:sz="0" w:space="0" w:color="auto"/>
            <w:left w:val="none" w:sz="0" w:space="0" w:color="auto"/>
            <w:bottom w:val="none" w:sz="0" w:space="0" w:color="auto"/>
            <w:right w:val="none" w:sz="0" w:space="0" w:color="auto"/>
          </w:divBdr>
          <w:divsChild>
            <w:div w:id="1486168034">
              <w:marLeft w:val="0"/>
              <w:marRight w:val="0"/>
              <w:marTop w:val="0"/>
              <w:marBottom w:val="0"/>
              <w:divBdr>
                <w:top w:val="none" w:sz="0" w:space="0" w:color="auto"/>
                <w:left w:val="none" w:sz="0" w:space="0" w:color="auto"/>
                <w:bottom w:val="none" w:sz="0" w:space="0" w:color="auto"/>
                <w:right w:val="none" w:sz="0" w:space="0" w:color="auto"/>
              </w:divBdr>
              <w:divsChild>
                <w:div w:id="392391393">
                  <w:marLeft w:val="0"/>
                  <w:marRight w:val="0"/>
                  <w:marTop w:val="0"/>
                  <w:marBottom w:val="0"/>
                  <w:divBdr>
                    <w:top w:val="none" w:sz="0" w:space="0" w:color="auto"/>
                    <w:left w:val="none" w:sz="0" w:space="0" w:color="auto"/>
                    <w:bottom w:val="none" w:sz="0" w:space="0" w:color="auto"/>
                    <w:right w:val="none" w:sz="0" w:space="0" w:color="auto"/>
                  </w:divBdr>
                  <w:divsChild>
                    <w:div w:id="2023505945">
                      <w:marLeft w:val="0"/>
                      <w:marRight w:val="0"/>
                      <w:marTop w:val="0"/>
                      <w:marBottom w:val="0"/>
                      <w:divBdr>
                        <w:top w:val="none" w:sz="0" w:space="0" w:color="auto"/>
                        <w:left w:val="none" w:sz="0" w:space="0" w:color="auto"/>
                        <w:bottom w:val="none" w:sz="0" w:space="0" w:color="auto"/>
                        <w:right w:val="none" w:sz="0" w:space="0" w:color="auto"/>
                      </w:divBdr>
                      <w:divsChild>
                        <w:div w:id="365374537">
                          <w:marLeft w:val="0"/>
                          <w:marRight w:val="0"/>
                          <w:marTop w:val="0"/>
                          <w:marBottom w:val="0"/>
                          <w:divBdr>
                            <w:top w:val="none" w:sz="0" w:space="0" w:color="auto"/>
                            <w:left w:val="none" w:sz="0" w:space="0" w:color="auto"/>
                            <w:bottom w:val="none" w:sz="0" w:space="0" w:color="auto"/>
                            <w:right w:val="none" w:sz="0" w:space="0" w:color="auto"/>
                          </w:divBdr>
                          <w:divsChild>
                            <w:div w:id="632444678">
                              <w:marLeft w:val="0"/>
                              <w:marRight w:val="0"/>
                              <w:marTop w:val="0"/>
                              <w:marBottom w:val="450"/>
                              <w:divBdr>
                                <w:top w:val="none" w:sz="0" w:space="0" w:color="auto"/>
                                <w:left w:val="none" w:sz="0" w:space="0" w:color="auto"/>
                                <w:bottom w:val="single" w:sz="6" w:space="0" w:color="4D4D4D"/>
                                <w:right w:val="none" w:sz="0" w:space="0" w:color="auto"/>
                              </w:divBdr>
                              <w:divsChild>
                                <w:div w:id="576598167">
                                  <w:marLeft w:val="180"/>
                                  <w:marRight w:val="0"/>
                                  <w:marTop w:val="0"/>
                                  <w:marBottom w:val="180"/>
                                  <w:divBdr>
                                    <w:top w:val="none" w:sz="0" w:space="0" w:color="auto"/>
                                    <w:left w:val="none" w:sz="0" w:space="0" w:color="auto"/>
                                    <w:bottom w:val="none" w:sz="0" w:space="0" w:color="auto"/>
                                    <w:right w:val="none" w:sz="0" w:space="0" w:color="auto"/>
                                  </w:divBdr>
                                  <w:divsChild>
                                    <w:div w:id="1832719986">
                                      <w:marLeft w:val="0"/>
                                      <w:marRight w:val="0"/>
                                      <w:marTop w:val="0"/>
                                      <w:marBottom w:val="225"/>
                                      <w:divBdr>
                                        <w:top w:val="none" w:sz="0" w:space="0" w:color="auto"/>
                                        <w:left w:val="none" w:sz="0" w:space="0" w:color="auto"/>
                                        <w:bottom w:val="none" w:sz="0" w:space="0" w:color="auto"/>
                                        <w:right w:val="none" w:sz="0" w:space="0" w:color="auto"/>
                                      </w:divBdr>
                                      <w:divsChild>
                                        <w:div w:id="540628923">
                                          <w:marLeft w:val="60"/>
                                          <w:marRight w:val="0"/>
                                          <w:marTop w:val="0"/>
                                          <w:marBottom w:val="0"/>
                                          <w:divBdr>
                                            <w:top w:val="none" w:sz="0" w:space="0" w:color="auto"/>
                                            <w:left w:val="none" w:sz="0" w:space="0" w:color="auto"/>
                                            <w:bottom w:val="none" w:sz="0" w:space="0" w:color="auto"/>
                                            <w:right w:val="none" w:sz="0" w:space="0" w:color="auto"/>
                                          </w:divBdr>
                                        </w:div>
                                        <w:div w:id="1144279642">
                                          <w:marLeft w:val="0"/>
                                          <w:marRight w:val="0"/>
                                          <w:marTop w:val="0"/>
                                          <w:marBottom w:val="0"/>
                                          <w:divBdr>
                                            <w:top w:val="single" w:sz="6" w:space="5" w:color="B3B3B3"/>
                                            <w:left w:val="single" w:sz="6" w:space="5" w:color="B3B3B3"/>
                                            <w:bottom w:val="single" w:sz="6" w:space="5" w:color="B3B3B3"/>
                                            <w:right w:val="single" w:sz="6" w:space="5" w:color="B3B3B3"/>
                                          </w:divBdr>
                                          <w:divsChild>
                                            <w:div w:id="1281183214">
                                              <w:marLeft w:val="0"/>
                                              <w:marRight w:val="0"/>
                                              <w:marTop w:val="0"/>
                                              <w:marBottom w:val="0"/>
                                              <w:divBdr>
                                                <w:top w:val="none" w:sz="0" w:space="0" w:color="auto"/>
                                                <w:left w:val="none" w:sz="0" w:space="0" w:color="auto"/>
                                                <w:bottom w:val="none" w:sz="0" w:space="0" w:color="auto"/>
                                                <w:right w:val="none" w:sz="0" w:space="0" w:color="auto"/>
                                              </w:divBdr>
                                              <w:divsChild>
                                                <w:div w:id="1029523820">
                                                  <w:marLeft w:val="0"/>
                                                  <w:marRight w:val="0"/>
                                                  <w:marTop w:val="0"/>
                                                  <w:marBottom w:val="0"/>
                                                  <w:divBdr>
                                                    <w:top w:val="none" w:sz="0" w:space="0" w:color="auto"/>
                                                    <w:left w:val="none" w:sz="0" w:space="0" w:color="auto"/>
                                                    <w:bottom w:val="none" w:sz="0" w:space="0" w:color="auto"/>
                                                    <w:right w:val="none" w:sz="0" w:space="0" w:color="auto"/>
                                                  </w:divBdr>
                                                </w:div>
                                                <w:div w:id="1061296345">
                                                  <w:marLeft w:val="0"/>
                                                  <w:marRight w:val="0"/>
                                                  <w:marTop w:val="0"/>
                                                  <w:marBottom w:val="0"/>
                                                  <w:divBdr>
                                                    <w:top w:val="none" w:sz="0" w:space="0" w:color="auto"/>
                                                    <w:left w:val="none" w:sz="0" w:space="0" w:color="auto"/>
                                                    <w:bottom w:val="none" w:sz="0" w:space="0" w:color="auto"/>
                                                    <w:right w:val="none" w:sz="0" w:space="0" w:color="auto"/>
                                                  </w:divBdr>
                                                </w:div>
                                                <w:div w:id="14360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7400609">
      <w:bodyDiv w:val="1"/>
      <w:marLeft w:val="0"/>
      <w:marRight w:val="0"/>
      <w:marTop w:val="0"/>
      <w:marBottom w:val="0"/>
      <w:divBdr>
        <w:top w:val="none" w:sz="0" w:space="0" w:color="auto"/>
        <w:left w:val="none" w:sz="0" w:space="0" w:color="auto"/>
        <w:bottom w:val="none" w:sz="0" w:space="0" w:color="auto"/>
        <w:right w:val="none" w:sz="0" w:space="0" w:color="auto"/>
      </w:divBdr>
    </w:div>
    <w:div w:id="891043627">
      <w:bodyDiv w:val="1"/>
      <w:marLeft w:val="0"/>
      <w:marRight w:val="0"/>
      <w:marTop w:val="0"/>
      <w:marBottom w:val="0"/>
      <w:divBdr>
        <w:top w:val="none" w:sz="0" w:space="0" w:color="auto"/>
        <w:left w:val="none" w:sz="0" w:space="0" w:color="auto"/>
        <w:bottom w:val="none" w:sz="0" w:space="0" w:color="auto"/>
        <w:right w:val="none" w:sz="0" w:space="0" w:color="auto"/>
      </w:divBdr>
    </w:div>
    <w:div w:id="1125546098">
      <w:bodyDiv w:val="1"/>
      <w:marLeft w:val="0"/>
      <w:marRight w:val="0"/>
      <w:marTop w:val="0"/>
      <w:marBottom w:val="0"/>
      <w:divBdr>
        <w:top w:val="none" w:sz="0" w:space="0" w:color="auto"/>
        <w:left w:val="none" w:sz="0" w:space="0" w:color="auto"/>
        <w:bottom w:val="none" w:sz="0" w:space="0" w:color="auto"/>
        <w:right w:val="none" w:sz="0" w:space="0" w:color="auto"/>
      </w:divBdr>
    </w:div>
    <w:div w:id="1172404472">
      <w:bodyDiv w:val="1"/>
      <w:marLeft w:val="0"/>
      <w:marRight w:val="0"/>
      <w:marTop w:val="0"/>
      <w:marBottom w:val="0"/>
      <w:divBdr>
        <w:top w:val="none" w:sz="0" w:space="0" w:color="auto"/>
        <w:left w:val="none" w:sz="0" w:space="0" w:color="auto"/>
        <w:bottom w:val="none" w:sz="0" w:space="0" w:color="auto"/>
        <w:right w:val="none" w:sz="0" w:space="0" w:color="auto"/>
      </w:divBdr>
    </w:div>
    <w:div w:id="1539390042">
      <w:bodyDiv w:val="1"/>
      <w:marLeft w:val="0"/>
      <w:marRight w:val="0"/>
      <w:marTop w:val="0"/>
      <w:marBottom w:val="0"/>
      <w:divBdr>
        <w:top w:val="none" w:sz="0" w:space="0" w:color="auto"/>
        <w:left w:val="none" w:sz="0" w:space="0" w:color="auto"/>
        <w:bottom w:val="none" w:sz="0" w:space="0" w:color="auto"/>
        <w:right w:val="none" w:sz="0" w:space="0" w:color="auto"/>
      </w:divBdr>
      <w:divsChild>
        <w:div w:id="1363631310">
          <w:marLeft w:val="0"/>
          <w:marRight w:val="0"/>
          <w:marTop w:val="0"/>
          <w:marBottom w:val="0"/>
          <w:divBdr>
            <w:top w:val="none" w:sz="0" w:space="0" w:color="auto"/>
            <w:left w:val="none" w:sz="0" w:space="0" w:color="auto"/>
            <w:bottom w:val="none" w:sz="0" w:space="0" w:color="auto"/>
            <w:right w:val="none" w:sz="0" w:space="0" w:color="auto"/>
          </w:divBdr>
        </w:div>
      </w:divsChild>
    </w:div>
    <w:div w:id="1556047785">
      <w:bodyDiv w:val="1"/>
      <w:marLeft w:val="0"/>
      <w:marRight w:val="0"/>
      <w:marTop w:val="0"/>
      <w:marBottom w:val="0"/>
      <w:divBdr>
        <w:top w:val="none" w:sz="0" w:space="0" w:color="auto"/>
        <w:left w:val="none" w:sz="0" w:space="0" w:color="auto"/>
        <w:bottom w:val="none" w:sz="0" w:space="0" w:color="auto"/>
        <w:right w:val="none" w:sz="0" w:space="0" w:color="auto"/>
      </w:divBdr>
    </w:div>
    <w:div w:id="1586300727">
      <w:bodyDiv w:val="1"/>
      <w:marLeft w:val="0"/>
      <w:marRight w:val="0"/>
      <w:marTop w:val="0"/>
      <w:marBottom w:val="0"/>
      <w:divBdr>
        <w:top w:val="none" w:sz="0" w:space="0" w:color="auto"/>
        <w:left w:val="none" w:sz="0" w:space="0" w:color="auto"/>
        <w:bottom w:val="none" w:sz="0" w:space="0" w:color="auto"/>
        <w:right w:val="none" w:sz="0" w:space="0" w:color="auto"/>
      </w:divBdr>
    </w:div>
    <w:div w:id="1861163249">
      <w:bodyDiv w:val="1"/>
      <w:marLeft w:val="0"/>
      <w:marRight w:val="0"/>
      <w:marTop w:val="0"/>
      <w:marBottom w:val="0"/>
      <w:divBdr>
        <w:top w:val="none" w:sz="0" w:space="0" w:color="auto"/>
        <w:left w:val="none" w:sz="0" w:space="0" w:color="auto"/>
        <w:bottom w:val="none" w:sz="0" w:space="0" w:color="auto"/>
        <w:right w:val="none" w:sz="0" w:space="0" w:color="auto"/>
      </w:divBdr>
      <w:divsChild>
        <w:div w:id="24402896">
          <w:marLeft w:val="0"/>
          <w:marRight w:val="0"/>
          <w:marTop w:val="0"/>
          <w:marBottom w:val="0"/>
          <w:divBdr>
            <w:top w:val="none" w:sz="0" w:space="0" w:color="auto"/>
            <w:left w:val="none" w:sz="0" w:space="0" w:color="auto"/>
            <w:bottom w:val="none" w:sz="0" w:space="0" w:color="auto"/>
            <w:right w:val="none" w:sz="0" w:space="0" w:color="auto"/>
          </w:divBdr>
          <w:divsChild>
            <w:div w:id="90101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98947">
      <w:bodyDiv w:val="1"/>
      <w:marLeft w:val="0"/>
      <w:marRight w:val="0"/>
      <w:marTop w:val="0"/>
      <w:marBottom w:val="0"/>
      <w:divBdr>
        <w:top w:val="none" w:sz="0" w:space="0" w:color="auto"/>
        <w:left w:val="none" w:sz="0" w:space="0" w:color="auto"/>
        <w:bottom w:val="none" w:sz="0" w:space="0" w:color="auto"/>
        <w:right w:val="none" w:sz="0" w:space="0" w:color="auto"/>
      </w:divBdr>
      <w:divsChild>
        <w:div w:id="1787314647">
          <w:marLeft w:val="0"/>
          <w:marRight w:val="0"/>
          <w:marTop w:val="0"/>
          <w:marBottom w:val="0"/>
          <w:divBdr>
            <w:top w:val="none" w:sz="0" w:space="0" w:color="auto"/>
            <w:left w:val="none" w:sz="0" w:space="0" w:color="auto"/>
            <w:bottom w:val="none" w:sz="0" w:space="0" w:color="auto"/>
            <w:right w:val="none" w:sz="0" w:space="0" w:color="auto"/>
          </w:divBdr>
          <w:divsChild>
            <w:div w:id="983435170">
              <w:marLeft w:val="0"/>
              <w:marRight w:val="0"/>
              <w:marTop w:val="0"/>
              <w:marBottom w:val="0"/>
              <w:divBdr>
                <w:top w:val="none" w:sz="0" w:space="0" w:color="auto"/>
                <w:left w:val="none" w:sz="0" w:space="0" w:color="auto"/>
                <w:bottom w:val="none" w:sz="0" w:space="0" w:color="auto"/>
                <w:right w:val="none" w:sz="0" w:space="0" w:color="auto"/>
              </w:divBdr>
              <w:divsChild>
                <w:div w:id="301352469">
                  <w:marLeft w:val="0"/>
                  <w:marRight w:val="0"/>
                  <w:marTop w:val="0"/>
                  <w:marBottom w:val="0"/>
                  <w:divBdr>
                    <w:top w:val="none" w:sz="0" w:space="0" w:color="auto"/>
                    <w:left w:val="none" w:sz="0" w:space="0" w:color="auto"/>
                    <w:bottom w:val="none" w:sz="0" w:space="0" w:color="auto"/>
                    <w:right w:val="none" w:sz="0" w:space="0" w:color="auto"/>
                  </w:divBdr>
                  <w:divsChild>
                    <w:div w:id="1281183640">
                      <w:marLeft w:val="0"/>
                      <w:marRight w:val="0"/>
                      <w:marTop w:val="0"/>
                      <w:marBottom w:val="0"/>
                      <w:divBdr>
                        <w:top w:val="none" w:sz="0" w:space="0" w:color="auto"/>
                        <w:left w:val="none" w:sz="0" w:space="0" w:color="auto"/>
                        <w:bottom w:val="none" w:sz="0" w:space="0" w:color="auto"/>
                        <w:right w:val="none" w:sz="0" w:space="0" w:color="auto"/>
                      </w:divBdr>
                      <w:divsChild>
                        <w:div w:id="2133353931">
                          <w:marLeft w:val="840"/>
                          <w:marRight w:val="1008"/>
                          <w:marTop w:val="0"/>
                          <w:marBottom w:val="0"/>
                          <w:divBdr>
                            <w:top w:val="none" w:sz="0" w:space="0" w:color="CCCCCC"/>
                            <w:left w:val="none" w:sz="0" w:space="0" w:color="CCCCCC"/>
                            <w:bottom w:val="none" w:sz="0" w:space="0" w:color="CCCCCC"/>
                            <w:right w:val="none" w:sz="0" w:space="0" w:color="CCCCCC"/>
                          </w:divBdr>
                        </w:div>
                      </w:divsChild>
                    </w:div>
                  </w:divsChild>
                </w:div>
              </w:divsChild>
            </w:div>
          </w:divsChild>
        </w:div>
      </w:divsChild>
    </w:div>
    <w:div w:id="197409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assets.aarp.org/rgcenter/econ/bulletin_jobs_09.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17187-E0AA-4BEB-82A6-3AF719F6B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8372</Words>
  <Characters>47723</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55984</CharactersWithSpaces>
  <SharedDoc>false</SharedDoc>
  <HLinks>
    <vt:vector size="6" baseType="variant">
      <vt:variant>
        <vt:i4>7929904</vt:i4>
      </vt:variant>
      <vt:variant>
        <vt:i4>12</vt:i4>
      </vt:variant>
      <vt:variant>
        <vt:i4>0</vt:i4>
      </vt:variant>
      <vt:variant>
        <vt:i4>5</vt:i4>
      </vt:variant>
      <vt:variant>
        <vt:lpwstr>http://assets.aarp.org/rgcenter/econ/bulletin_jobs_09.pdf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2015-09-05T20:02:00Z</dcterms:created>
  <dcterms:modified xsi:type="dcterms:W3CDTF">2015-09-05T20:02:00Z</dcterms:modified>
</cp:coreProperties>
</file>