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Harris D. Hernandez</w:t>
      </w:r>
    </w:p>
    <w:p w14:paraId="00000002"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MMSc. in BMS</w:t>
      </w:r>
    </w:p>
    <w:p w14:paraId="00000003" w14:textId="77777777" w:rsidR="00C82299" w:rsidRDefault="00C82299">
      <w:pPr>
        <w:spacing w:line="360" w:lineRule="auto"/>
        <w:rPr>
          <w:rFonts w:ascii="Times New Roman" w:eastAsia="Times New Roman" w:hAnsi="Times New Roman" w:cs="Times New Roman"/>
          <w:sz w:val="24"/>
          <w:szCs w:val="24"/>
        </w:rPr>
      </w:pPr>
    </w:p>
    <w:p w14:paraId="00000004" w14:textId="77777777" w:rsidR="00C82299" w:rsidRDefault="00C82299">
      <w:pPr>
        <w:spacing w:line="360" w:lineRule="auto"/>
        <w:jc w:val="center"/>
        <w:rPr>
          <w:rFonts w:ascii="Times New Roman" w:eastAsia="Times New Roman" w:hAnsi="Times New Roman" w:cs="Times New Roman"/>
          <w:sz w:val="24"/>
          <w:szCs w:val="24"/>
        </w:rPr>
      </w:pPr>
    </w:p>
    <w:p w14:paraId="00000005" w14:textId="77777777" w:rsidR="00C82299" w:rsidRDefault="00C82299">
      <w:pPr>
        <w:spacing w:line="360" w:lineRule="auto"/>
        <w:rPr>
          <w:rFonts w:ascii="Times New Roman" w:eastAsia="Times New Roman" w:hAnsi="Times New Roman" w:cs="Times New Roman"/>
          <w:sz w:val="24"/>
          <w:szCs w:val="24"/>
        </w:rPr>
      </w:pPr>
    </w:p>
    <w:p w14:paraId="00000006"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Capstone Report</w:t>
      </w:r>
    </w:p>
    <w:p w14:paraId="00000007" w14:textId="77777777" w:rsidR="00C82299" w:rsidRDefault="00C82299">
      <w:pPr>
        <w:spacing w:line="360" w:lineRule="auto"/>
        <w:jc w:val="center"/>
        <w:rPr>
          <w:rFonts w:ascii="Times New Roman" w:eastAsia="Times New Roman" w:hAnsi="Times New Roman" w:cs="Times New Roman"/>
          <w:sz w:val="24"/>
          <w:szCs w:val="24"/>
        </w:rPr>
      </w:pPr>
    </w:p>
    <w:p w14:paraId="00000008" w14:textId="77777777" w:rsidR="00C82299" w:rsidRDefault="00C82299">
      <w:pPr>
        <w:spacing w:line="360" w:lineRule="auto"/>
        <w:jc w:val="center"/>
        <w:rPr>
          <w:rFonts w:ascii="Times New Roman" w:eastAsia="Times New Roman" w:hAnsi="Times New Roman" w:cs="Times New Roman"/>
          <w:sz w:val="24"/>
          <w:szCs w:val="24"/>
        </w:rPr>
      </w:pPr>
    </w:p>
    <w:p w14:paraId="00000009" w14:textId="77777777" w:rsidR="00C82299" w:rsidRDefault="00C82299">
      <w:pPr>
        <w:spacing w:line="360" w:lineRule="auto"/>
        <w:jc w:val="center"/>
        <w:rPr>
          <w:rFonts w:ascii="Times New Roman" w:eastAsia="Times New Roman" w:hAnsi="Times New Roman" w:cs="Times New Roman"/>
          <w:sz w:val="24"/>
          <w:szCs w:val="24"/>
        </w:rPr>
      </w:pPr>
    </w:p>
    <w:p w14:paraId="0000000A"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Presented to the Faculty of Miami University in partial</w:t>
      </w:r>
    </w:p>
    <w:p w14:paraId="0000000B"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fulfillment of the requirements for the degree of</w:t>
      </w:r>
    </w:p>
    <w:p w14:paraId="0000000C" w14:textId="77777777" w:rsidR="00C82299" w:rsidRDefault="00C82299">
      <w:pPr>
        <w:spacing w:line="360" w:lineRule="auto"/>
        <w:jc w:val="center"/>
        <w:rPr>
          <w:rFonts w:ascii="Times New Roman" w:eastAsia="Times New Roman" w:hAnsi="Times New Roman" w:cs="Times New Roman"/>
          <w:sz w:val="24"/>
          <w:szCs w:val="24"/>
        </w:rPr>
      </w:pPr>
    </w:p>
    <w:p w14:paraId="0000000D" w14:textId="77777777" w:rsidR="00C82299" w:rsidRDefault="00C82299">
      <w:pPr>
        <w:spacing w:line="360" w:lineRule="auto"/>
        <w:jc w:val="center"/>
        <w:rPr>
          <w:rFonts w:ascii="Times New Roman" w:eastAsia="Times New Roman" w:hAnsi="Times New Roman" w:cs="Times New Roman"/>
          <w:sz w:val="24"/>
          <w:szCs w:val="24"/>
        </w:rPr>
      </w:pPr>
    </w:p>
    <w:p w14:paraId="0000000E"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Biomedical Science</w:t>
      </w:r>
    </w:p>
    <w:p w14:paraId="0000000F" w14:textId="77777777" w:rsidR="00C82299" w:rsidRDefault="00C82299">
      <w:pPr>
        <w:spacing w:line="360" w:lineRule="auto"/>
        <w:jc w:val="center"/>
        <w:rPr>
          <w:rFonts w:ascii="Times New Roman" w:eastAsia="Times New Roman" w:hAnsi="Times New Roman" w:cs="Times New Roman"/>
          <w:sz w:val="24"/>
          <w:szCs w:val="24"/>
        </w:rPr>
      </w:pPr>
    </w:p>
    <w:p w14:paraId="00000010" w14:textId="77777777" w:rsidR="00C82299" w:rsidRDefault="00C82299">
      <w:pPr>
        <w:spacing w:line="360" w:lineRule="auto"/>
        <w:jc w:val="center"/>
        <w:rPr>
          <w:rFonts w:ascii="Times New Roman" w:eastAsia="Times New Roman" w:hAnsi="Times New Roman" w:cs="Times New Roman"/>
          <w:sz w:val="24"/>
          <w:szCs w:val="24"/>
        </w:rPr>
      </w:pPr>
    </w:p>
    <w:p w14:paraId="00000011"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Biomedical Science</w:t>
      </w:r>
    </w:p>
    <w:p w14:paraId="00000012"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College of Arts &amp; Sciences</w:t>
      </w:r>
    </w:p>
    <w:p w14:paraId="00000013" w14:textId="77777777" w:rsidR="00C82299" w:rsidRDefault="00C82299">
      <w:pPr>
        <w:spacing w:line="360" w:lineRule="auto"/>
        <w:jc w:val="center"/>
        <w:rPr>
          <w:rFonts w:ascii="Times New Roman" w:eastAsia="Times New Roman" w:hAnsi="Times New Roman" w:cs="Times New Roman"/>
          <w:sz w:val="24"/>
          <w:szCs w:val="24"/>
        </w:rPr>
      </w:pPr>
    </w:p>
    <w:p w14:paraId="00000014"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Graduate School</w:t>
      </w:r>
    </w:p>
    <w:p w14:paraId="00000015"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Miami University</w:t>
      </w:r>
    </w:p>
    <w:p w14:paraId="00000016"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Oxford, Ohio</w:t>
      </w:r>
    </w:p>
    <w:p w14:paraId="00000017" w14:textId="77777777" w:rsidR="00C82299" w:rsidRDefault="00C82299">
      <w:pPr>
        <w:spacing w:line="360" w:lineRule="auto"/>
        <w:jc w:val="center"/>
        <w:rPr>
          <w:rFonts w:ascii="Times New Roman" w:eastAsia="Times New Roman" w:hAnsi="Times New Roman" w:cs="Times New Roman"/>
          <w:sz w:val="24"/>
          <w:szCs w:val="24"/>
        </w:rPr>
      </w:pPr>
    </w:p>
    <w:p w14:paraId="00000018" w14:textId="77777777" w:rsidR="00C82299" w:rsidRDefault="00C82299">
      <w:pPr>
        <w:spacing w:line="360" w:lineRule="auto"/>
        <w:jc w:val="center"/>
        <w:rPr>
          <w:rFonts w:ascii="Times New Roman" w:eastAsia="Times New Roman" w:hAnsi="Times New Roman" w:cs="Times New Roman"/>
          <w:sz w:val="24"/>
          <w:szCs w:val="24"/>
        </w:rPr>
      </w:pPr>
    </w:p>
    <w:p w14:paraId="00000019" w14:textId="77777777" w:rsidR="00C82299" w:rsidRDefault="007B105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0000001A" w14:textId="77777777" w:rsidR="00C82299" w:rsidRDefault="00C82299">
      <w:pPr>
        <w:spacing w:line="360" w:lineRule="auto"/>
        <w:jc w:val="center"/>
        <w:rPr>
          <w:rFonts w:ascii="Times New Roman" w:eastAsia="Times New Roman" w:hAnsi="Times New Roman" w:cs="Times New Roman"/>
          <w:sz w:val="24"/>
          <w:szCs w:val="24"/>
        </w:rPr>
      </w:pPr>
    </w:p>
    <w:p w14:paraId="0000001B" w14:textId="77777777" w:rsidR="00C82299" w:rsidRDefault="00C82299">
      <w:pPr>
        <w:spacing w:line="360" w:lineRule="auto"/>
        <w:rPr>
          <w:rFonts w:ascii="Times New Roman" w:eastAsia="Times New Roman" w:hAnsi="Times New Roman" w:cs="Times New Roman"/>
          <w:sz w:val="24"/>
          <w:szCs w:val="24"/>
        </w:rPr>
      </w:pPr>
    </w:p>
    <w:p w14:paraId="0000001C" w14:textId="77777777" w:rsidR="00C82299" w:rsidRDefault="00C82299">
      <w:pPr>
        <w:spacing w:line="360" w:lineRule="auto"/>
        <w:rPr>
          <w:rFonts w:ascii="Times New Roman" w:eastAsia="Times New Roman" w:hAnsi="Times New Roman" w:cs="Times New Roman"/>
          <w:sz w:val="24"/>
          <w:szCs w:val="24"/>
        </w:rPr>
      </w:pPr>
    </w:p>
    <w:p w14:paraId="0000001D" w14:textId="77777777" w:rsidR="00C82299" w:rsidRDefault="007B105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Michael W. Crowder, Graduate Director</w:t>
      </w:r>
    </w:p>
    <w:p w14:paraId="0000001E" w14:textId="77777777" w:rsidR="00C82299" w:rsidRDefault="007B105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David DeLaet, Graduate Committee Member</w:t>
      </w:r>
    </w:p>
    <w:p w14:paraId="0000001F" w14:textId="77777777" w:rsidR="00C82299" w:rsidRDefault="007B105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Michael Robinson, Graduate Committee Member</w:t>
      </w:r>
    </w:p>
    <w:p w14:paraId="00000020" w14:textId="77777777" w:rsidR="00C82299" w:rsidRDefault="00C82299">
      <w:pPr>
        <w:rPr>
          <w:rFonts w:ascii="Times New Roman" w:eastAsia="Times New Roman" w:hAnsi="Times New Roman" w:cs="Times New Roman"/>
          <w:sz w:val="24"/>
          <w:szCs w:val="24"/>
        </w:rPr>
      </w:pPr>
    </w:p>
    <w:p w14:paraId="00000021" w14:textId="77777777" w:rsidR="00C82299" w:rsidRDefault="00C82299">
      <w:pPr>
        <w:rPr>
          <w:rFonts w:ascii="Times New Roman" w:eastAsia="Times New Roman" w:hAnsi="Times New Roman" w:cs="Times New Roman"/>
          <w:sz w:val="24"/>
          <w:szCs w:val="24"/>
        </w:rPr>
      </w:pPr>
    </w:p>
    <w:p w14:paraId="00000022" w14:textId="77777777" w:rsidR="00C82299" w:rsidRDefault="00C82299">
      <w:pPr>
        <w:rPr>
          <w:rFonts w:ascii="Times New Roman" w:eastAsia="Times New Roman" w:hAnsi="Times New Roman" w:cs="Times New Roman"/>
          <w:sz w:val="24"/>
          <w:szCs w:val="24"/>
        </w:rPr>
      </w:pPr>
    </w:p>
    <w:p w14:paraId="00000023" w14:textId="77777777" w:rsidR="00C82299" w:rsidRDefault="00C82299">
      <w:pPr>
        <w:rPr>
          <w:rFonts w:ascii="Times New Roman" w:eastAsia="Times New Roman" w:hAnsi="Times New Roman" w:cs="Times New Roman"/>
          <w:sz w:val="24"/>
          <w:szCs w:val="24"/>
        </w:rPr>
      </w:pPr>
    </w:p>
    <w:p w14:paraId="00000024" w14:textId="77777777" w:rsidR="00C82299" w:rsidRDefault="00C82299">
      <w:pPr>
        <w:rPr>
          <w:rFonts w:ascii="Times New Roman" w:eastAsia="Times New Roman" w:hAnsi="Times New Roman" w:cs="Times New Roman"/>
          <w:sz w:val="24"/>
          <w:szCs w:val="24"/>
        </w:rPr>
      </w:pPr>
    </w:p>
    <w:p w14:paraId="00000025" w14:textId="77777777" w:rsidR="00C82299" w:rsidRDefault="00C82299">
      <w:pPr>
        <w:rPr>
          <w:rFonts w:ascii="Times New Roman" w:eastAsia="Times New Roman" w:hAnsi="Times New Roman" w:cs="Times New Roman"/>
          <w:sz w:val="24"/>
          <w:szCs w:val="24"/>
        </w:rPr>
      </w:pPr>
    </w:p>
    <w:p w14:paraId="00000026" w14:textId="77777777" w:rsidR="00C82299" w:rsidRDefault="00C82299">
      <w:pPr>
        <w:rPr>
          <w:rFonts w:ascii="Times New Roman" w:eastAsia="Times New Roman" w:hAnsi="Times New Roman" w:cs="Times New Roman"/>
          <w:sz w:val="24"/>
          <w:szCs w:val="24"/>
        </w:rPr>
      </w:pPr>
    </w:p>
    <w:p w14:paraId="00000027" w14:textId="77777777" w:rsidR="00C82299" w:rsidRDefault="00C82299">
      <w:pPr>
        <w:rPr>
          <w:rFonts w:ascii="Times New Roman" w:eastAsia="Times New Roman" w:hAnsi="Times New Roman" w:cs="Times New Roman"/>
          <w:sz w:val="24"/>
          <w:szCs w:val="24"/>
        </w:rPr>
      </w:pPr>
    </w:p>
    <w:p w14:paraId="00000028" w14:textId="77777777" w:rsidR="00C82299" w:rsidRDefault="00C82299">
      <w:pPr>
        <w:rPr>
          <w:rFonts w:ascii="Times New Roman" w:eastAsia="Times New Roman" w:hAnsi="Times New Roman" w:cs="Times New Roman"/>
          <w:sz w:val="24"/>
          <w:szCs w:val="24"/>
        </w:rPr>
      </w:pPr>
    </w:p>
    <w:p w14:paraId="00000029" w14:textId="77777777" w:rsidR="00C82299" w:rsidRDefault="00C82299">
      <w:pPr>
        <w:rPr>
          <w:rFonts w:ascii="Times New Roman" w:eastAsia="Times New Roman" w:hAnsi="Times New Roman" w:cs="Times New Roman"/>
          <w:sz w:val="24"/>
          <w:szCs w:val="24"/>
        </w:rPr>
      </w:pPr>
    </w:p>
    <w:p w14:paraId="0000002A" w14:textId="77777777" w:rsidR="00C82299" w:rsidRDefault="00C82299">
      <w:pPr>
        <w:rPr>
          <w:rFonts w:ascii="Times New Roman" w:eastAsia="Times New Roman" w:hAnsi="Times New Roman" w:cs="Times New Roman"/>
          <w:sz w:val="24"/>
          <w:szCs w:val="24"/>
        </w:rPr>
      </w:pPr>
    </w:p>
    <w:p w14:paraId="0000002B" w14:textId="77777777" w:rsidR="00C82299" w:rsidRDefault="00C82299">
      <w:pPr>
        <w:rPr>
          <w:rFonts w:ascii="Times New Roman" w:eastAsia="Times New Roman" w:hAnsi="Times New Roman" w:cs="Times New Roman"/>
          <w:sz w:val="24"/>
          <w:szCs w:val="24"/>
        </w:rPr>
      </w:pPr>
    </w:p>
    <w:p w14:paraId="0000002C" w14:textId="77777777" w:rsidR="00C82299" w:rsidRDefault="00C82299">
      <w:pPr>
        <w:rPr>
          <w:rFonts w:ascii="Times New Roman" w:eastAsia="Times New Roman" w:hAnsi="Times New Roman" w:cs="Times New Roman"/>
          <w:sz w:val="24"/>
          <w:szCs w:val="24"/>
        </w:rPr>
      </w:pPr>
    </w:p>
    <w:p w14:paraId="0000002D" w14:textId="77777777" w:rsidR="00C82299" w:rsidRDefault="00C82299">
      <w:pPr>
        <w:jc w:val="center"/>
        <w:rPr>
          <w:rFonts w:ascii="Times New Roman" w:eastAsia="Times New Roman" w:hAnsi="Times New Roman" w:cs="Times New Roman"/>
          <w:sz w:val="24"/>
          <w:szCs w:val="24"/>
        </w:rPr>
      </w:pPr>
    </w:p>
    <w:p w14:paraId="0000002E" w14:textId="77777777" w:rsidR="00C82299" w:rsidRDefault="00C82299">
      <w:pPr>
        <w:jc w:val="center"/>
        <w:rPr>
          <w:rFonts w:ascii="Times New Roman" w:eastAsia="Times New Roman" w:hAnsi="Times New Roman" w:cs="Times New Roman"/>
          <w:sz w:val="24"/>
          <w:szCs w:val="24"/>
        </w:rPr>
      </w:pPr>
    </w:p>
    <w:p w14:paraId="0000002F" w14:textId="77777777" w:rsidR="00C82299" w:rsidRDefault="007B105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30" w14:textId="77777777" w:rsidR="00C82299" w:rsidRDefault="00C82299">
      <w:pPr>
        <w:jc w:val="center"/>
        <w:rPr>
          <w:rFonts w:ascii="Times New Roman" w:eastAsia="Times New Roman" w:hAnsi="Times New Roman" w:cs="Times New Roman"/>
          <w:sz w:val="24"/>
          <w:szCs w:val="24"/>
        </w:rPr>
      </w:pPr>
    </w:p>
    <w:p w14:paraId="00000031" w14:textId="77777777" w:rsidR="00C82299" w:rsidRDefault="007B105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Harris D. Hernandez</w:t>
      </w:r>
    </w:p>
    <w:p w14:paraId="00000032" w14:textId="77777777" w:rsidR="00C82299" w:rsidRDefault="00C82299">
      <w:pPr>
        <w:jc w:val="center"/>
        <w:rPr>
          <w:rFonts w:ascii="Times New Roman" w:eastAsia="Times New Roman" w:hAnsi="Times New Roman" w:cs="Times New Roman"/>
          <w:sz w:val="24"/>
          <w:szCs w:val="24"/>
        </w:rPr>
      </w:pPr>
    </w:p>
    <w:p w14:paraId="00000033" w14:textId="77777777" w:rsidR="00C82299" w:rsidRDefault="007B105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00000034" w14:textId="77777777" w:rsidR="00C82299" w:rsidRDefault="00C82299">
      <w:pPr>
        <w:rPr>
          <w:rFonts w:ascii="Times New Roman" w:eastAsia="Times New Roman" w:hAnsi="Times New Roman" w:cs="Times New Roman"/>
          <w:sz w:val="24"/>
          <w:szCs w:val="24"/>
        </w:rPr>
      </w:pPr>
    </w:p>
    <w:p w14:paraId="00000035" w14:textId="77777777" w:rsidR="00C82299" w:rsidRDefault="00C82299">
      <w:pPr>
        <w:rPr>
          <w:rFonts w:ascii="Times New Roman" w:eastAsia="Times New Roman" w:hAnsi="Times New Roman" w:cs="Times New Roman"/>
          <w:sz w:val="24"/>
          <w:szCs w:val="24"/>
        </w:rPr>
      </w:pPr>
    </w:p>
    <w:p w14:paraId="00000036" w14:textId="77777777" w:rsidR="00C82299" w:rsidRDefault="00C82299">
      <w:pPr>
        <w:rPr>
          <w:rFonts w:ascii="Times New Roman" w:eastAsia="Times New Roman" w:hAnsi="Times New Roman" w:cs="Times New Roman"/>
          <w:sz w:val="24"/>
          <w:szCs w:val="24"/>
        </w:rPr>
      </w:pPr>
    </w:p>
    <w:p w14:paraId="00000037" w14:textId="77777777" w:rsidR="00C82299" w:rsidRDefault="00C82299">
      <w:pPr>
        <w:rPr>
          <w:rFonts w:ascii="Times New Roman" w:eastAsia="Times New Roman" w:hAnsi="Times New Roman" w:cs="Times New Roman"/>
          <w:sz w:val="24"/>
          <w:szCs w:val="24"/>
        </w:rPr>
      </w:pPr>
    </w:p>
    <w:p w14:paraId="00000038" w14:textId="77777777" w:rsidR="00C82299" w:rsidRDefault="00C82299">
      <w:pPr>
        <w:rPr>
          <w:rFonts w:ascii="Times New Roman" w:eastAsia="Times New Roman" w:hAnsi="Times New Roman" w:cs="Times New Roman"/>
          <w:sz w:val="24"/>
          <w:szCs w:val="24"/>
        </w:rPr>
      </w:pPr>
    </w:p>
    <w:p w14:paraId="00000039" w14:textId="77777777" w:rsidR="00C82299" w:rsidRDefault="00C82299">
      <w:pPr>
        <w:rPr>
          <w:rFonts w:ascii="Times New Roman" w:eastAsia="Times New Roman" w:hAnsi="Times New Roman" w:cs="Times New Roman"/>
          <w:sz w:val="24"/>
          <w:szCs w:val="24"/>
        </w:rPr>
      </w:pPr>
    </w:p>
    <w:p w14:paraId="0000003A" w14:textId="77777777" w:rsidR="00C82299" w:rsidRDefault="00C82299">
      <w:pPr>
        <w:rPr>
          <w:rFonts w:ascii="Times New Roman" w:eastAsia="Times New Roman" w:hAnsi="Times New Roman" w:cs="Times New Roman"/>
          <w:sz w:val="24"/>
          <w:szCs w:val="24"/>
        </w:rPr>
      </w:pPr>
    </w:p>
    <w:p w14:paraId="0000003B" w14:textId="77777777" w:rsidR="00C82299" w:rsidRDefault="00C82299">
      <w:pPr>
        <w:rPr>
          <w:rFonts w:ascii="Times New Roman" w:eastAsia="Times New Roman" w:hAnsi="Times New Roman" w:cs="Times New Roman"/>
          <w:sz w:val="24"/>
          <w:szCs w:val="24"/>
        </w:rPr>
      </w:pPr>
    </w:p>
    <w:p w14:paraId="0000003C" w14:textId="77777777" w:rsidR="00C82299" w:rsidRDefault="00C82299">
      <w:pPr>
        <w:rPr>
          <w:rFonts w:ascii="Times New Roman" w:eastAsia="Times New Roman" w:hAnsi="Times New Roman" w:cs="Times New Roman"/>
          <w:sz w:val="24"/>
          <w:szCs w:val="24"/>
        </w:rPr>
      </w:pPr>
    </w:p>
    <w:p w14:paraId="0000003D" w14:textId="77777777" w:rsidR="00C82299" w:rsidRDefault="00C82299">
      <w:pPr>
        <w:rPr>
          <w:rFonts w:ascii="Times New Roman" w:eastAsia="Times New Roman" w:hAnsi="Times New Roman" w:cs="Times New Roman"/>
          <w:sz w:val="24"/>
          <w:szCs w:val="24"/>
        </w:rPr>
      </w:pPr>
    </w:p>
    <w:p w14:paraId="0000003E" w14:textId="77777777" w:rsidR="00C82299" w:rsidRDefault="00C82299">
      <w:pPr>
        <w:rPr>
          <w:rFonts w:ascii="Times New Roman" w:eastAsia="Times New Roman" w:hAnsi="Times New Roman" w:cs="Times New Roman"/>
          <w:sz w:val="24"/>
          <w:szCs w:val="24"/>
        </w:rPr>
      </w:pPr>
    </w:p>
    <w:p w14:paraId="0000003F" w14:textId="77777777" w:rsidR="00C82299" w:rsidRDefault="00C82299">
      <w:pPr>
        <w:rPr>
          <w:rFonts w:ascii="Times New Roman" w:eastAsia="Times New Roman" w:hAnsi="Times New Roman" w:cs="Times New Roman"/>
          <w:sz w:val="24"/>
          <w:szCs w:val="24"/>
        </w:rPr>
      </w:pPr>
    </w:p>
    <w:p w14:paraId="00000040" w14:textId="77777777" w:rsidR="00C82299" w:rsidRDefault="00C82299">
      <w:pPr>
        <w:rPr>
          <w:rFonts w:ascii="Times New Roman" w:eastAsia="Times New Roman" w:hAnsi="Times New Roman" w:cs="Times New Roman"/>
          <w:sz w:val="24"/>
          <w:szCs w:val="24"/>
        </w:rPr>
      </w:pPr>
    </w:p>
    <w:p w14:paraId="00000041" w14:textId="77777777" w:rsidR="00C82299" w:rsidRDefault="00C82299">
      <w:pPr>
        <w:rPr>
          <w:rFonts w:ascii="Times New Roman" w:eastAsia="Times New Roman" w:hAnsi="Times New Roman" w:cs="Times New Roman"/>
          <w:sz w:val="24"/>
          <w:szCs w:val="24"/>
        </w:rPr>
      </w:pPr>
    </w:p>
    <w:p w14:paraId="00000042" w14:textId="77777777" w:rsidR="00C82299" w:rsidRDefault="00C82299">
      <w:pPr>
        <w:rPr>
          <w:rFonts w:ascii="Times New Roman" w:eastAsia="Times New Roman" w:hAnsi="Times New Roman" w:cs="Times New Roman"/>
          <w:sz w:val="24"/>
          <w:szCs w:val="24"/>
        </w:rPr>
      </w:pPr>
    </w:p>
    <w:p w14:paraId="00000043" w14:textId="77777777" w:rsidR="00C82299" w:rsidRDefault="00C82299">
      <w:pPr>
        <w:rPr>
          <w:rFonts w:ascii="Times New Roman" w:eastAsia="Times New Roman" w:hAnsi="Times New Roman" w:cs="Times New Roman"/>
          <w:sz w:val="24"/>
          <w:szCs w:val="24"/>
        </w:rPr>
      </w:pPr>
    </w:p>
    <w:p w14:paraId="00000044" w14:textId="77777777" w:rsidR="00C82299" w:rsidRDefault="00C82299">
      <w:pPr>
        <w:rPr>
          <w:rFonts w:ascii="Times New Roman" w:eastAsia="Times New Roman" w:hAnsi="Times New Roman" w:cs="Times New Roman"/>
          <w:sz w:val="24"/>
          <w:szCs w:val="24"/>
        </w:rPr>
      </w:pPr>
    </w:p>
    <w:p w14:paraId="00000045" w14:textId="77777777" w:rsidR="00C82299" w:rsidRDefault="00C82299">
      <w:pPr>
        <w:rPr>
          <w:rFonts w:ascii="Times New Roman" w:eastAsia="Times New Roman" w:hAnsi="Times New Roman" w:cs="Times New Roman"/>
          <w:sz w:val="24"/>
          <w:szCs w:val="24"/>
        </w:rPr>
      </w:pPr>
    </w:p>
    <w:p w14:paraId="00000046" w14:textId="77777777" w:rsidR="00C82299" w:rsidRDefault="00C82299">
      <w:pPr>
        <w:rPr>
          <w:rFonts w:ascii="Times New Roman" w:eastAsia="Times New Roman" w:hAnsi="Times New Roman" w:cs="Times New Roman"/>
          <w:sz w:val="24"/>
          <w:szCs w:val="24"/>
        </w:rPr>
      </w:pPr>
    </w:p>
    <w:p w14:paraId="00000047" w14:textId="77777777" w:rsidR="00C82299" w:rsidRDefault="00C82299">
      <w:pPr>
        <w:rPr>
          <w:rFonts w:ascii="Times New Roman" w:eastAsia="Times New Roman" w:hAnsi="Times New Roman" w:cs="Times New Roman"/>
          <w:sz w:val="24"/>
          <w:szCs w:val="24"/>
        </w:rPr>
      </w:pPr>
    </w:p>
    <w:p w14:paraId="00000048"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0" w:name="_flfw5fbre7rx" w:colFirst="0" w:colLast="0"/>
      <w:bookmarkEnd w:id="0"/>
      <w:r>
        <w:rPr>
          <w:rFonts w:ascii="Times New Roman" w:eastAsia="Times New Roman" w:hAnsi="Times New Roman" w:cs="Times New Roman"/>
          <w:b/>
          <w:bCs/>
          <w:sz w:val="24"/>
          <w:szCs w:val="24"/>
          <w:u w:val="single"/>
        </w:rPr>
        <w:lastRenderedPageBreak/>
        <w:t>INTRODUCTION</w:t>
      </w:r>
    </w:p>
    <w:p w14:paraId="00000049"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Miami University’s Master of Medical Science (MMSc.) in Biomedical Science (BMS) program has enabled me to achieve greater academic success and broaden my understanding of the medical field. Throughout this program, I have been able to shadow an array of medical personnel and learn from their distinct experiences. This has helped me develop a clearer understanding of the importance of the different roles within a medical environment as well as the areas of medicine I am passionate about. Additionally, the o</w:t>
      </w:r>
      <w:r>
        <w:rPr>
          <w:rFonts w:ascii="Times New Roman" w:eastAsia="Times New Roman" w:hAnsi="Times New Roman" w:cs="Times New Roman"/>
          <w:sz w:val="24"/>
          <w:szCs w:val="24"/>
        </w:rPr>
        <w:t>pportunity to participate in the first-semester curriculum of the Physician Associate (PA) Studies program at Miami gave me firsthand experience in a fast-paced, high-volume academic environment. These classes, alongside my other coursework, have instilled in me the critical skills to budget my time and develop successful study habits. Despite remaining consistent in my career aspirations, I find myself to be a different person as I approach graduation. Without the BMS program, I would not feel confident pu</w:t>
      </w:r>
      <w:r>
        <w:rPr>
          <w:rFonts w:ascii="Times New Roman" w:eastAsia="Times New Roman" w:hAnsi="Times New Roman" w:cs="Times New Roman"/>
          <w:sz w:val="24"/>
          <w:szCs w:val="24"/>
        </w:rPr>
        <w:t xml:space="preserve">rsuing further medical education. </w:t>
      </w:r>
    </w:p>
    <w:p w14:paraId="0000004A" w14:textId="77777777" w:rsidR="00C82299" w:rsidRDefault="007B1053">
      <w:pPr>
        <w:spacing w:line="480" w:lineRule="auto"/>
        <w:ind w:firstLine="720"/>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To consolidate my experience throughout this program, I have reflected on four distinct areas that have strengthened my passion for medicine. The initial section will focus on critical applications between the content I learned in the classroom and my experience with clinical shadowing. The discussion will continue in the next section, focusing on developing a strong clinical question and conducting rigorous research using reliable medical literature. The third section will expand upon the significance of p</w:t>
      </w:r>
      <w:r>
        <w:rPr>
          <w:rFonts w:ascii="Times New Roman" w:eastAsia="Times New Roman" w:hAnsi="Times New Roman" w:cs="Times New Roman"/>
          <w:sz w:val="24"/>
          <w:szCs w:val="24"/>
        </w:rPr>
        <w:t xml:space="preserve">atient-provider and provider-provider interactions. The discussion will include examples of positive and negative experiences of each type of interaction, followed by a reflection on these impacts. Finally, I will reflect on how psychosocial determinants of health can lead to significant disparities in patients' overall health and </w:t>
      </w:r>
      <w:r>
        <w:rPr>
          <w:rFonts w:ascii="Times New Roman" w:eastAsia="Times New Roman" w:hAnsi="Times New Roman" w:cs="Times New Roman"/>
          <w:sz w:val="24"/>
          <w:szCs w:val="24"/>
        </w:rPr>
        <w:lastRenderedPageBreak/>
        <w:t>livelihoods. Altogether, my hope is to succinctly compile the knowledge and insight I’ve gained throughout my time as a master’s student.</w:t>
      </w:r>
    </w:p>
    <w:p w14:paraId="0000004B"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1" w:name="_c1e695493dq9" w:colFirst="0" w:colLast="0"/>
      <w:bookmarkEnd w:id="1"/>
      <w:r>
        <w:rPr>
          <w:rFonts w:ascii="Times New Roman" w:eastAsia="Times New Roman" w:hAnsi="Times New Roman" w:cs="Times New Roman"/>
          <w:b/>
          <w:bCs/>
          <w:sz w:val="24"/>
          <w:szCs w:val="24"/>
          <w:u w:val="single"/>
        </w:rPr>
        <w:t>FROM THE CLASSROOM TO THE CLINIC</w:t>
      </w:r>
    </w:p>
    <w:p w14:paraId="0000004C"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moment I began pursuing an MMSc. in BMS degree, personalized therapies have been strongly emphasized throughout my curriculum. As the name suggests, a personalized therapy approach treats patients on a case-by-case basis. These treatments are often relied on in cases that lack a strict protocol or involve multiple complications. Despite standard procedures and prescriptions remaining the most common forms of treatment, critically evaluating patients and developing tailored treatment plans remain ev</w:t>
      </w:r>
      <w:r>
        <w:rPr>
          <w:rFonts w:ascii="Times New Roman" w:eastAsia="Times New Roman" w:hAnsi="Times New Roman" w:cs="Times New Roman"/>
          <w:sz w:val="24"/>
          <w:szCs w:val="24"/>
        </w:rPr>
        <w:t xml:space="preserve">eryday practices for most physicians. Additionally, these personalized approaches may involve combination therapy or the use of two or more drugs in a multifaceted therapeutic approach. An example that I encountered twice while shadowing involved the treatment of a patient with heart failure. </w:t>
      </w:r>
    </w:p>
    <w:p w14:paraId="0000004D"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one situation, a patient presented to the clinic with heart complications and a Type II diabetes mellitus (T2DM) co-morbidity. In the other case, a patient presented with heart complications due to chronic smoking. For both patients, the immediate cause for concern was their heart function, despite having separate causes of cardiac dysfunction. Through my research, I discovered that T2DM patients with heart failure mostly commonly have heart failure with preserved ejection fraction (HFpEF). Conversely, t</w:t>
      </w:r>
      <w:r>
        <w:rPr>
          <w:rFonts w:ascii="Times New Roman" w:eastAsia="Times New Roman" w:hAnsi="Times New Roman" w:cs="Times New Roman"/>
          <w:sz w:val="24"/>
          <w:szCs w:val="24"/>
        </w:rPr>
        <w:t xml:space="preserve">he most common form of heart failure for chronic smokers is heart failure with reduced ejection fraction (HFrEF). This led me to consider the standard treatments for each type of heart failure and how the patients’ other conditions might affect these regimens. </w:t>
      </w:r>
    </w:p>
    <w:p w14:paraId="0000004E" w14:textId="77777777" w:rsidR="00C82299" w:rsidRDefault="007B1053">
      <w:pPr>
        <w:spacing w:line="480" w:lineRule="auto"/>
        <w:ind w:firstLine="720"/>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 xml:space="preserve">According to the American Heart Association, the initial therapy for patients with HFpEF is a sodium-glucose cotransporter 2 inhibitor (SGLT2i). [1] SGLT2is are a class of medications </w:t>
      </w:r>
      <w:r>
        <w:rPr>
          <w:rFonts w:ascii="Times New Roman" w:eastAsia="Times New Roman" w:hAnsi="Times New Roman" w:cs="Times New Roman"/>
          <w:sz w:val="24"/>
          <w:szCs w:val="24"/>
        </w:rPr>
        <w:lastRenderedPageBreak/>
        <w:t>that block the kidneys' reabsorption of filtered glucose in the urine, a process that, in turn, leads to lower serum glucose levels. However, recent research has shown cardiovascular benefits and improved functional capacity in patients with HFpEF, irrespective of T2DM status. [2] Additionally, I found it interesting that the first-line drug therapy for patients with T2DM is metformin, which is often prescribed alongside SGLT2is to achieve more effective combination therapy. [3] Given these findings, one mi</w:t>
      </w:r>
      <w:r>
        <w:rPr>
          <w:rFonts w:ascii="Times New Roman" w:eastAsia="Times New Roman" w:hAnsi="Times New Roman" w:cs="Times New Roman"/>
          <w:sz w:val="24"/>
          <w:szCs w:val="24"/>
        </w:rPr>
        <w:t>ght consider whether metformin and SGLT2is should be included in the standard of care for all patients with HFpEF, Type II DM, or both. However, the combined use of these two classes of drugs has been shown to increase the risk of metabolic acidosis compared to the use of either agent alone, an outcome that might counter this consideration. [3] As I reflect on the knowledge I’ve gained through this research, it becomes evident to me that understanding each patient's medical history and current complications</w:t>
      </w:r>
      <w:r>
        <w:rPr>
          <w:rFonts w:ascii="Times New Roman" w:eastAsia="Times New Roman" w:hAnsi="Times New Roman" w:cs="Times New Roman"/>
          <w:sz w:val="24"/>
          <w:szCs w:val="24"/>
        </w:rPr>
        <w:t xml:space="preserve"> is critical in determining the optimal treatment plan. All of this information highlights the importance of personalized therapeutic interventions and obtaining a comprehensive patient history. </w:t>
      </w:r>
    </w:p>
    <w:p w14:paraId="0000004F"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2" w:name="_g43w8qb90rt" w:colFirst="0" w:colLast="0"/>
      <w:bookmarkEnd w:id="2"/>
      <w:r>
        <w:rPr>
          <w:rFonts w:ascii="Times New Roman" w:eastAsia="Times New Roman" w:hAnsi="Times New Roman" w:cs="Times New Roman"/>
          <w:b/>
          <w:bCs/>
          <w:sz w:val="24"/>
          <w:szCs w:val="24"/>
          <w:u w:val="single"/>
        </w:rPr>
        <w:t>FRAMING A CLINICAL QUESTION &amp; INTERROGATING THE LITERATURE</w:t>
      </w:r>
    </w:p>
    <w:p w14:paraId="00000050"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my passion for science and medicine, I have always been intrigued by neuroscience and the brain's vast complexity, which shapes and defines our reality. Despite having no clinical experience with patients experiencing neurological complications, I often find myself doing personal research to learn more about these topics. One neurological disorder that has particularly caught my attention is Parkinson’s Disease (PD). I first learned about PD in a neuroscience class during my undergraduate cou</w:t>
      </w:r>
      <w:r>
        <w:rPr>
          <w:rFonts w:ascii="Times New Roman" w:eastAsia="Times New Roman" w:hAnsi="Times New Roman" w:cs="Times New Roman"/>
          <w:sz w:val="24"/>
          <w:szCs w:val="24"/>
        </w:rPr>
        <w:t xml:space="preserve">rsework. PD is defined as a chronic, progressive movement disorder characterized by the widespread presence of the intracellular protein alpha-synuclein (aSyn) and the degeneration of dopaminergic neurons in the substantia nigra pars </w:t>
      </w:r>
      <w:r>
        <w:rPr>
          <w:rFonts w:ascii="Times New Roman" w:eastAsia="Times New Roman" w:hAnsi="Times New Roman" w:cs="Times New Roman"/>
          <w:sz w:val="24"/>
          <w:szCs w:val="24"/>
        </w:rPr>
        <w:lastRenderedPageBreak/>
        <w:t>compacta (SNpc), nerve cells that eventually die as a result of this degeneration. [4] Although it is a relatively common movement disorder, diagnosis and management can often be difficult due to the large diversity of symptoms. Currently, levodopa is considered the primary tre</w:t>
      </w:r>
      <w:r>
        <w:rPr>
          <w:rFonts w:ascii="Times New Roman" w:eastAsia="Times New Roman" w:hAnsi="Times New Roman" w:cs="Times New Roman"/>
          <w:sz w:val="24"/>
          <w:szCs w:val="24"/>
        </w:rPr>
        <w:t>atment option. However, levodopa-induced dyskinesia (LID) is a common side effect of long-term treatment. [4] To circumvent this complication in treatment, recent research has focused on finding alternative solutions. One prominent option is deep brain stimulation (DBS), a surgical procedure that involves implanting electrodes in the brain. While there is still a lot of research to be done, evidence shows that DBS is an effective treatment for PD patients.</w:t>
      </w:r>
    </w:p>
    <w:p w14:paraId="00000051"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Given this background, I wanted to understand how effective DBS is in reducing tremors and motor rigidity compared to levodopa. When asking a clinical question, it is useful to use a standardized format to help frame the question. One popular example is the PICO format, where you develop a question based on 4 criteria. In a PICO question, the P represents a patient population, the I signifies the intervention, C is the standard of care, and the outcome is the O. For my example, advanced PD is my patient pop</w:t>
      </w:r>
      <w:r>
        <w:rPr>
          <w:rFonts w:ascii="Times New Roman" w:eastAsia="Times New Roman" w:hAnsi="Times New Roman" w:cs="Times New Roman"/>
          <w:sz w:val="24"/>
          <w:szCs w:val="24"/>
        </w:rPr>
        <w:t>ulation (P), DBS is the intervention (I), levodopa is the standard of care (C), and a reduction in motor symptoms is the outcome (O).</w:t>
      </w:r>
    </w:p>
    <w:p w14:paraId="00000052"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my research, I found two studies related to my PICO question. Both studies aimed to answer how the tremor response differs between levodopa and subthalamic nucleus DBS (STN-DBS) and were identified through PubMed. To ensure accurate results, I used “Parkinson’s disease + DBS vs levodopa + tremors” as my key terms and filtered for articles published in the last 5 years.</w:t>
      </w:r>
    </w:p>
    <w:p w14:paraId="00000053"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2025 study retrospectively reviewed 395 subjects with PD who had received STN-DBS and assessed Unified Parkinson’s Disease Rating Scale (UPDRS) at three stages: preoperative OFF-medication, preoperative ON-medication, and postoperative ON-DBS/OFF-medication. [5] </w:t>
      </w:r>
      <w:r>
        <w:rPr>
          <w:rFonts w:ascii="Times New Roman" w:eastAsia="Times New Roman" w:hAnsi="Times New Roman" w:cs="Times New Roman"/>
          <w:sz w:val="24"/>
          <w:szCs w:val="24"/>
        </w:rPr>
        <w:lastRenderedPageBreak/>
        <w:t>The investigators found that STN-DBS proved superior for upper-body tremors, whereas levodopa was preferred for axial symptoms and leg tremors. However, both treatments showed significant improvements in motor function compared with preoperative OFF-medication status. Another study evaluated 165 patients with PD and upper-limb tremor who underwent STN-DBS. The levodopa responsiveness of tremor (overall, postural, and rest sub-components) was assessed using relevant Unified Parkinson’s Disease Rating Scale-I</w:t>
      </w:r>
      <w:r>
        <w:rPr>
          <w:rFonts w:ascii="Times New Roman" w:eastAsia="Times New Roman" w:hAnsi="Times New Roman" w:cs="Times New Roman"/>
          <w:sz w:val="24"/>
          <w:szCs w:val="24"/>
        </w:rPr>
        <w:t>II items performed during the preoperative assessment. Post-surgical outcomes were similarly assessed ON and OFF simulation. [6] This study demonstrated a negative correlation between tremor response and levodopa for men. Additionally, severe postural tremors and minor rest tremors were associated with poorer responses to levodopa and STN-DBS. The authors noted a small sample size, potential selection bias, and a short DBS washout period as limitations of their study. Both studies concluded that the best co</w:t>
      </w:r>
      <w:r>
        <w:rPr>
          <w:rFonts w:ascii="Times New Roman" w:eastAsia="Times New Roman" w:hAnsi="Times New Roman" w:cs="Times New Roman"/>
          <w:sz w:val="24"/>
          <w:szCs w:val="24"/>
        </w:rPr>
        <w:t xml:space="preserve">urse of treatment is patient-dependent and should be addressed on an individual basis. </w:t>
      </w:r>
    </w:p>
    <w:p w14:paraId="00000054"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studies addressed my PICO question by comparing treatment responses between Levodopa and DBS. However, it also highlighted a limitation in my initially stated question. Had I been more specific about the patient population (patients with advanced upper-body tremors from Parkinson’s disease) or my outcome (improved response for patients with severe axial tremors), the results would have produced a more specific answer. </w:t>
      </w:r>
    </w:p>
    <w:p w14:paraId="00000055"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3" w:name="_6dfw7fjx5fsh" w:colFirst="0" w:colLast="0"/>
      <w:bookmarkEnd w:id="3"/>
      <w:r>
        <w:rPr>
          <w:rFonts w:ascii="Times New Roman" w:eastAsia="Times New Roman" w:hAnsi="Times New Roman" w:cs="Times New Roman"/>
          <w:b/>
          <w:bCs/>
          <w:sz w:val="24"/>
          <w:szCs w:val="24"/>
          <w:u w:val="single"/>
        </w:rPr>
        <w:t>REFLECTION ON EFFECTIVE COMMUNICATION IN HEALTHCARE</w:t>
      </w:r>
    </w:p>
    <w:p w14:paraId="00000056"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Patient-Provider Interactions</w:t>
      </w:r>
    </w:p>
    <w:p w14:paraId="00000057"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importance of effective communication between a patient and their provider is often seen as less important than the medical outcome. In fact, this perception is exemplified in medical-related entertainment, where the rigid, depersonalized doctor is seen as the superior </w:t>
      </w:r>
      <w:r>
        <w:rPr>
          <w:rFonts w:ascii="Times New Roman" w:eastAsia="Times New Roman" w:hAnsi="Times New Roman" w:cs="Times New Roman"/>
          <w:sz w:val="24"/>
          <w:szCs w:val="24"/>
        </w:rPr>
        <w:lastRenderedPageBreak/>
        <w:t>physician to their friendlier peers. The irony is that numerous clinical studies prove the opposite to be true. A study investigating the impact of physician-patient communication quality on patient satisfaction found a significant positive correlation between overall communication quality and patient satisfaction. [7] This study is one of many that have helped confirm that effective patient-centered communication strategies can lead to measurable improvements in patient satisfaction and health outcomes.</w:t>
      </w:r>
    </w:p>
    <w:p w14:paraId="00000058"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one of my shadowing opportunities, I observed an encounter in which the physician’s behavior and communication towards the patient left me unsatisfied. It was my second experience at Grace Clinic, a volunteer clinic in Delaware, Ohio. I had signed up to volunteer as a scribe, a role in which I would be paired with a randomly selected volunteer physician. In this instance, the patient was a middle-aged Latin American woman who was disappointed with her prescribed medication. She had been taking a medi</w:t>
      </w:r>
      <w:r>
        <w:rPr>
          <w:rFonts w:ascii="Times New Roman" w:eastAsia="Times New Roman" w:hAnsi="Times New Roman" w:cs="Times New Roman"/>
          <w:sz w:val="24"/>
          <w:szCs w:val="24"/>
        </w:rPr>
        <w:t xml:space="preserve">cation to help reduce her anxiety. After multiple months taking the drug, she was not satisfied with how it made her feel and was hoping to stop the treatment or find another solution. </w:t>
      </w:r>
    </w:p>
    <w:p w14:paraId="00000059"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first problem that arose began before we even stepped into the room. This particular patient was Spanish-speaking and had very minimal English comprehension. This was not uncommon for the clinic, and we often had volunteer translators who would come in to assist. While I am aware that this can have repercussions for effective communication between patient and provider, the volunteers usually did their best to translate exactly what the patient had said. When a volunteer translator was unavailable, we w</w:t>
      </w:r>
      <w:r>
        <w:rPr>
          <w:rFonts w:ascii="Times New Roman" w:eastAsia="Times New Roman" w:hAnsi="Times New Roman" w:cs="Times New Roman"/>
          <w:sz w:val="24"/>
          <w:szCs w:val="24"/>
        </w:rPr>
        <w:t xml:space="preserve">ould use an online translation service, which was necessary for this particular patient. I distinctly recall my physician expressing annoyance at both the patient’s presenting concern and the need to use an online translator before we even entered the room. </w:t>
      </w:r>
    </w:p>
    <w:p w14:paraId="0000005A"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we initiated the encounter, the patient began describing her situation, which was then translated back to us after a brief delay. Whether this patient had visited the clinic before was unclear to me, but I did not feel that the physician was very interested in the interaction as a whole. Anytime the patient expressed their opinion, it was met with the same response. “Unfortunately, I think you should stay on the medication, so I am not going to change the prescription.” There was a little bit of back-and</w:t>
      </w:r>
      <w:r>
        <w:rPr>
          <w:rFonts w:ascii="Times New Roman" w:eastAsia="Times New Roman" w:hAnsi="Times New Roman" w:cs="Times New Roman"/>
          <w:sz w:val="24"/>
          <w:szCs w:val="24"/>
        </w:rPr>
        <w:t>-forth discussion, but eventually the woman, defeated, agreed to stay on the medication.</w:t>
      </w:r>
    </w:p>
    <w:p w14:paraId="0000005B"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What I found most interesting about this situation was how the physician communicated. I could not tell you whether it was the right decision for this woman to keep her prescription or if her concerns were unrelated to the medication. I was not sure if the doctor had seen this patient before and knew exactly why she felt unsatisfied. But that was the problem. Whatever reasons the physician had for keeping her on the same medication were never communicated. Nor was there any discussion of an alternative medi</w:t>
      </w:r>
      <w:r>
        <w:rPr>
          <w:rFonts w:ascii="Times New Roman" w:eastAsia="Times New Roman" w:hAnsi="Times New Roman" w:cs="Times New Roman"/>
          <w:sz w:val="24"/>
          <w:szCs w:val="24"/>
        </w:rPr>
        <w:t xml:space="preserve">cation that might have a different effect on behavior. Instead of explaining to the patient the importance of the medication, it seemed the physician did not want to deal with the patient or the translator. Instead, she tried to end the visit as soon as possible so she could move on to the next patient. I recall feeling helpless during the interaction, as I did not feel it was my place to challenge the doctor, especially in front of the patient. And while I understand that communicating effectively through </w:t>
      </w:r>
      <w:r>
        <w:rPr>
          <w:rFonts w:ascii="Times New Roman" w:eastAsia="Times New Roman" w:hAnsi="Times New Roman" w:cs="Times New Roman"/>
          <w:sz w:val="24"/>
          <w:szCs w:val="24"/>
        </w:rPr>
        <w:t xml:space="preserve">a translator can be difficult, I wish the physician had taken the time to explain to the patient why the medication was needed and to address the patient’s concerns. </w:t>
      </w:r>
    </w:p>
    <w:p w14:paraId="0000005C"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that situation definitely provided a good learning opportunity for me, most of my shadowing experiences have, thankfully, demonstrated effective patient-provider communication. One specific example was at the Hoxworth Blood Center, a part of UC Health, </w:t>
      </w:r>
      <w:r>
        <w:rPr>
          <w:rFonts w:ascii="Times New Roman" w:eastAsia="Times New Roman" w:hAnsi="Times New Roman" w:cs="Times New Roman"/>
          <w:sz w:val="24"/>
          <w:szCs w:val="24"/>
        </w:rPr>
        <w:lastRenderedPageBreak/>
        <w:t>in Cincinnati, Ohio. In this situation, the patient presented to the clinic with complications from heart failure secondary to chronic smoking. Unlike in the previous example, the resident and I reviewed and discussed the patient’s history and prior visits to better understand their situation. Then, once we entered the room, the resident again went over and confirmed that the patient’s history and previous visit were correct. This was beneficial to everyone because it allowed us all to understand the releva</w:t>
      </w:r>
      <w:r>
        <w:rPr>
          <w:rFonts w:ascii="Times New Roman" w:eastAsia="Times New Roman" w:hAnsi="Times New Roman" w:cs="Times New Roman"/>
          <w:sz w:val="24"/>
          <w:szCs w:val="24"/>
        </w:rPr>
        <w:t>nt information and use our time effectively. It also afforded the patient an opportunity to correct any inaccurate information.</w:t>
      </w:r>
    </w:p>
    <w:p w14:paraId="0000005D"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the appointment continued, the resident asked relevant questions and confirmed that the patient understood her. These actions helped establish a comfortable and safe environment. Any time the patient had a question, the resident clearly explained her reasoning and encouraged the patient to consider smoking cessation. To my surprise, the patient seemed very receptive to quitting and even asked for additional advice and resources. Finally, after the consultation, the resident and I left the room and went b</w:t>
      </w:r>
      <w:r>
        <w:rPr>
          <w:rFonts w:ascii="Times New Roman" w:eastAsia="Times New Roman" w:hAnsi="Times New Roman" w:cs="Times New Roman"/>
          <w:sz w:val="24"/>
          <w:szCs w:val="24"/>
        </w:rPr>
        <w:t xml:space="preserve">ack to a conference room with other physicians to debrief. After confirming the next steps with the head physician, we explained the plan to the patient and sent him home. </w:t>
      </w:r>
    </w:p>
    <w:p w14:paraId="0000005E"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was a very different clinician-patient interaction than the previous example. Besides the physician's much more communicative and encouraging approach in their dialogue, it was also easy to appreciate the patient’s positive response. In the first example, the patient was upset and may have felt there were no other options, whereas the second patient was much more receptive and thus more amenable to making a lifestyle change. I also appreciated that the second scenario was more collaborative, allowing f</w:t>
      </w:r>
      <w:r>
        <w:rPr>
          <w:rFonts w:ascii="Times New Roman" w:eastAsia="Times New Roman" w:hAnsi="Times New Roman" w:cs="Times New Roman"/>
          <w:sz w:val="24"/>
          <w:szCs w:val="24"/>
        </w:rPr>
        <w:t>or shared decision-making.</w:t>
      </w:r>
    </w:p>
    <w:p w14:paraId="0000005F"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two scenarios underscore the importance of clear, respectful communication between providers and their patients. Although clinical knowledge is a mandatory part of a </w:t>
      </w:r>
      <w:r>
        <w:rPr>
          <w:rFonts w:ascii="Times New Roman" w:eastAsia="Times New Roman" w:hAnsi="Times New Roman" w:cs="Times New Roman"/>
          <w:sz w:val="24"/>
          <w:szCs w:val="24"/>
        </w:rPr>
        <w:lastRenderedPageBreak/>
        <w:t>physician’s job, it is not sufficient in providing a high level of care. Rather, their interpersonal skills and ability to communicate effectively with their patient are equally paramount to becoming a great provider.</w:t>
      </w:r>
    </w:p>
    <w:p w14:paraId="00000060" w14:textId="77777777" w:rsidR="00C82299" w:rsidRDefault="00C82299">
      <w:pPr>
        <w:spacing w:line="480" w:lineRule="auto"/>
        <w:rPr>
          <w:rFonts w:ascii="Times New Roman" w:eastAsia="Times New Roman" w:hAnsi="Times New Roman" w:cs="Times New Roman"/>
          <w:sz w:val="24"/>
          <w:szCs w:val="24"/>
        </w:rPr>
      </w:pPr>
    </w:p>
    <w:p w14:paraId="00000061" w14:textId="77777777" w:rsidR="00C82299" w:rsidRDefault="007B1053">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Provider-Provider Interactions</w:t>
      </w:r>
    </w:p>
    <w:p w14:paraId="00000062"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any aspiring healthcare worker, the importance of the patient-provider relationship often comes up in classroom discussions. My neuroscience class taught that the provider's behavior can affect the patient’s response to treatment. In my public health class, I was taught to remember that socioeconomic factors can have a drastic effect on an individual's perception of the healthcare environment. In Latin American studies, I learned that Hispanic individuals interact with their physicians differently from </w:t>
      </w:r>
      <w:r>
        <w:rPr>
          <w:rFonts w:ascii="Times New Roman" w:eastAsia="Times New Roman" w:hAnsi="Times New Roman" w:cs="Times New Roman"/>
          <w:sz w:val="24"/>
          <w:szCs w:val="24"/>
        </w:rPr>
        <w:t xml:space="preserve">non-Hispanic individuals. These examples demonstrate how often this topic arises even in non-scientific or non-healthcare settings. However, despite these conversations being commonplace, I struggle to think of a single time that a professor has discussed the provider-provider relationship. </w:t>
      </w:r>
    </w:p>
    <w:p w14:paraId="00000063"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 know I will inevitably encounter an unpleasant provider during my tenure as a physician. However, I am grateful that throughout my shadowing experiences, I have only encountered positive provider-provider interactions. Although I have, however, heard the stories about negative interactions from others. One particular instance was shared by my pharmacology professor, who lamented a previous interaction he had with a physician. While some of the minor details were lost to me, I can distinctly remember my i</w:t>
      </w:r>
      <w:r>
        <w:rPr>
          <w:rFonts w:ascii="Times New Roman" w:eastAsia="Times New Roman" w:hAnsi="Times New Roman" w:cs="Times New Roman"/>
          <w:sz w:val="24"/>
          <w:szCs w:val="24"/>
        </w:rPr>
        <w:t xml:space="preserve">nternal response to the situation. As the story goes, this doctor had just completed a consultation with a patient and sent a prescription note to the hospital pharmacy. After reviewing the patient's medical history and current prescriptions, the pharmacist noticed that the new medication was very expensive and not </w:t>
      </w:r>
      <w:r>
        <w:rPr>
          <w:rFonts w:ascii="Times New Roman" w:eastAsia="Times New Roman" w:hAnsi="Times New Roman" w:cs="Times New Roman"/>
          <w:sz w:val="24"/>
          <w:szCs w:val="24"/>
        </w:rPr>
        <w:lastRenderedPageBreak/>
        <w:t>covered by the patient’s insurance. In an effort to be a responsible pharmacist, he called the physician to express his concerns and offered an alternative solution that had the same desired outc</w:t>
      </w:r>
      <w:r>
        <w:rPr>
          <w:rFonts w:ascii="Times New Roman" w:eastAsia="Times New Roman" w:hAnsi="Times New Roman" w:cs="Times New Roman"/>
          <w:sz w:val="24"/>
          <w:szCs w:val="24"/>
        </w:rPr>
        <w:t xml:space="preserve">ome and was included by the insurance. Instead of the quick, helpful conversation the pharmacist had intended, the doctor was not interested in the alternative. Despite the pharmacist's explanation, the doctor remained annoyed and began insulting the pharmacist's intelligence. It was not until the pharmacist involved a third party that the physician finally listened to the information he was being told. </w:t>
      </w:r>
    </w:p>
    <w:p w14:paraId="00000064"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I cannot remember exactly what was said, and although I only heard this story from the pharmacist’s perspective, it has stayed with me. I know it is not uncommon for physicians to think very highly of themselves and their intelligence. I also know that many physicians believe they are superior to other healthcare professionals. While it brings me peace to know that those who feel this way are in the minority, they definitely still exist. This anecdote provided me with a great demonstration of how to h</w:t>
      </w:r>
      <w:r>
        <w:rPr>
          <w:rFonts w:ascii="Times New Roman" w:eastAsia="Times New Roman" w:hAnsi="Times New Roman" w:cs="Times New Roman"/>
          <w:sz w:val="24"/>
          <w:szCs w:val="24"/>
        </w:rPr>
        <w:t>andle myself when I inevitably find myself in a similar position.</w:t>
      </w:r>
    </w:p>
    <w:p w14:paraId="00000065"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beginning, the pharmacist showed he was concerned for the patient and wanted to discuss an alternative medication with the provider. Then, despite being insulted, he remained calm and kept his dignity. Finally, when he was no longer willing to engage in a non-productive conversation, he added his superior to provide authority. I really appreciated how the pharmacist was able to keep his composure and focus the conversation on the patient's health. One of my main reasons for pursuing a career in hea</w:t>
      </w:r>
      <w:r>
        <w:rPr>
          <w:rFonts w:ascii="Times New Roman" w:eastAsia="Times New Roman" w:hAnsi="Times New Roman" w:cs="Times New Roman"/>
          <w:sz w:val="24"/>
          <w:szCs w:val="24"/>
        </w:rPr>
        <w:t xml:space="preserve">lthcare is an overwhelming desire to improve the daily lives of those around me and to promote a healthy community. I believe this motivation is shared among most healthcare employees. I could even make the argument that the stubborn physician was also trying to help the patient, but he refused to let anyone correct him about the best course </w:t>
      </w:r>
      <w:r>
        <w:rPr>
          <w:rFonts w:ascii="Times New Roman" w:eastAsia="Times New Roman" w:hAnsi="Times New Roman" w:cs="Times New Roman"/>
          <w:sz w:val="24"/>
          <w:szCs w:val="24"/>
        </w:rPr>
        <w:lastRenderedPageBreak/>
        <w:t>of action. In my opinion, being obstinate is not a good trait to have in a profession often built around collaborative care. Something I learned in class recently is th</w:t>
      </w:r>
      <w:r>
        <w:rPr>
          <w:rFonts w:ascii="Times New Roman" w:eastAsia="Times New Roman" w:hAnsi="Times New Roman" w:cs="Times New Roman"/>
          <w:sz w:val="24"/>
          <w:szCs w:val="24"/>
        </w:rPr>
        <w:t xml:space="preserve">e importance of knowing what you do not know and being okay with asking for help. Not every provider knows the best treatments for every clinical situation, and being able to accept that another colleague might provide the answer is crucial to delivering the best possible care. </w:t>
      </w:r>
    </w:p>
    <w:p w14:paraId="00000066"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would like to note that if I were the pharmacist, and this were a constant struggle with that particular provider, I would be quick to inform a supervisor of my concerns. I would not want to do it out of malicious intent against the provider but rather to improve the overall quality of care delivery. </w:t>
      </w:r>
    </w:p>
    <w:p w14:paraId="00000067"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physician who is unwilling to collaborate or seek to understand his peers could have negative consequences across the entire hospital. Such behavior could lead to a significant number of patients getting suboptimal care and potentially lead to fatal consequences. In fact, a 2022 review article synthesized findings from 63 articles supporting the importance of effective, positive communication among physicians. [8] The development of five distinct categories influencing inter-physician collaboration yielde</w:t>
      </w:r>
      <w:r>
        <w:rPr>
          <w:rFonts w:ascii="Times New Roman" w:eastAsia="Times New Roman" w:hAnsi="Times New Roman" w:cs="Times New Roman"/>
          <w:sz w:val="24"/>
          <w:szCs w:val="24"/>
        </w:rPr>
        <w:t>d results showing improved clinical outcomes and patient satisfaction, along with reduced error rates and length of stay. [8] Overall, as a physician, it is important to be confident in your abilities while also valuing the input of all healthcare workers. Doing so will not only create a more enjoyable working environment but also lead to a healthier community.</w:t>
      </w:r>
    </w:p>
    <w:p w14:paraId="00000068"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4" w:name="_vvcu3e7s3xq3" w:colFirst="0" w:colLast="0"/>
      <w:bookmarkEnd w:id="4"/>
      <w:r>
        <w:rPr>
          <w:rFonts w:ascii="Times New Roman" w:eastAsia="Times New Roman" w:hAnsi="Times New Roman" w:cs="Times New Roman"/>
          <w:b/>
          <w:bCs/>
          <w:sz w:val="24"/>
          <w:szCs w:val="24"/>
          <w:u w:val="single"/>
        </w:rPr>
        <w:t>REFLECTION ON PSYCHOSOCIAL DETERMINANTS OF HEALTH</w:t>
      </w:r>
    </w:p>
    <w:p w14:paraId="00000069"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Every good clinician will always recommend the highest-quality treatment for their patients. Great clinicians understand the impact that social determinants of health (SDOH) might have on a patient's ability to follow through with treatment. SDOH are the nonmedical factors </w:t>
      </w:r>
      <w:r>
        <w:rPr>
          <w:rFonts w:ascii="Times New Roman" w:eastAsia="Times New Roman" w:hAnsi="Times New Roman" w:cs="Times New Roman"/>
          <w:sz w:val="24"/>
          <w:szCs w:val="24"/>
        </w:rPr>
        <w:lastRenderedPageBreak/>
        <w:t>that influence health outcomes. [9] Some common examples include neighborhood safety, transportation, work conditions, and home life. One of the most prominent examples in the United States is single parenthood, specifically being a single mother. Single mothers currently account for 21% of all mothers in the United States. However, this number can vary significantly by ethnicity, with 47% of Black mothers and 25% of Hispanic mothers being the sole parental figure of the family. [10] Oftentimes, being a sin</w:t>
      </w:r>
      <w:r>
        <w:rPr>
          <w:rFonts w:ascii="Times New Roman" w:eastAsia="Times New Roman" w:hAnsi="Times New Roman" w:cs="Times New Roman"/>
          <w:sz w:val="24"/>
          <w:szCs w:val="24"/>
        </w:rPr>
        <w:t xml:space="preserve">gle mother results in high stress, little downtime, and consequently, less priority for their health. Single mothers represent a socially and economically vulnerable group that is at risk for a variety of physical and mental health complications. [11] Single Black mothers frequently experience a plethora of barriers that affect their health management and status daily. </w:t>
      </w:r>
    </w:p>
    <w:p w14:paraId="0000006A"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Throughout my shadowing experiences, I have had a handful of encounters where social factors impacted the discussion and treatment plan for the patient. However, I can recall a specific patient encounter that left a profound impression on the extent to which SDOH can influence health outcomes. </w:t>
      </w:r>
    </w:p>
    <w:p w14:paraId="0000006B"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time, I was shadowing under a resident at UC Health - Hoxworth, and the patient had made the appointment hoping to obtain a prescription for some sleeping pills. She had arrived with her four kids, which included two young teens, a child, and a newborn baby. From the moment the resident and I stepped into the room, it was clear that this woman was living a stressful life. All of the kids were full of energy and constantly demanding her attention. It gave me a lot of respect for both the resident and </w:t>
      </w:r>
      <w:r>
        <w:rPr>
          <w:rFonts w:ascii="Times New Roman" w:eastAsia="Times New Roman" w:hAnsi="Times New Roman" w:cs="Times New Roman"/>
          <w:sz w:val="24"/>
          <w:szCs w:val="24"/>
        </w:rPr>
        <w:t xml:space="preserve">the patient, as they tried to navigate through the appointment despite the distractions. The patient explained that life had really gotten the best of her lately and that she was having trouble sleeping from all of the stress and anxiety of single parenthood alongside multiple jobs. When asked about social support, the patient avoided the </w:t>
      </w:r>
      <w:r>
        <w:rPr>
          <w:rFonts w:ascii="Times New Roman" w:eastAsia="Times New Roman" w:hAnsi="Times New Roman" w:cs="Times New Roman"/>
          <w:sz w:val="24"/>
          <w:szCs w:val="24"/>
        </w:rPr>
        <w:lastRenderedPageBreak/>
        <w:t>question and asked to continue without answering. I cannot remember why, but at the time, the resident was unable to provide the patient with the medications she requested</w:t>
      </w:r>
      <w:r>
        <w:rPr>
          <w:rFonts w:ascii="Times New Roman" w:eastAsia="Times New Roman" w:hAnsi="Times New Roman" w:cs="Times New Roman"/>
          <w:sz w:val="24"/>
          <w:szCs w:val="24"/>
        </w:rPr>
        <w:t xml:space="preserve">, instead offering an alternative solution and suggesting additional health appointments. </w:t>
      </w:r>
    </w:p>
    <w:p w14:paraId="0000006C"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patient seemed disappointed with the response and began to dismiss the resident, giving only one or two-word responses and appearing unresponsive to the suggestions. Of note, before entering the room, the resident and I had discussed that this patient had come in before and is typically lost to follow-up. It was understandable that this was the case, but it became critical that the resident provide as much information and encouragement as possible while she was with us. </w:t>
      </w:r>
    </w:p>
    <w:p w14:paraId="0000006D"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What impacted me most was how her social circumstances shaped the entire experience. The pace of the discussion, the responsiveness to additional appointments, and the undesirable outcome are all influenced by the stress and strict resource allocation that accompany single motherhood. From an outside perspective, her inability to focus throughout the discussion significantly affected her perception of the quality of the information provided to her. Additionally, the chronic stress and cognitive overload fro</w:t>
      </w:r>
      <w:r>
        <w:rPr>
          <w:rFonts w:ascii="Times New Roman" w:eastAsia="Times New Roman" w:hAnsi="Times New Roman" w:cs="Times New Roman"/>
          <w:sz w:val="24"/>
          <w:szCs w:val="24"/>
        </w:rPr>
        <w:t xml:space="preserve">m managing four differently aged children overshadowed any ability she had to engage with her own health. Unfortunately, this is not an uncommon event. With 47% of Black mothers being single, this can result in drastic health disparities between their population and the universal average. </w:t>
      </w:r>
    </w:p>
    <w:p w14:paraId="0000006E"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2020 study compared the quality of life (QOL) between single and married mothers and found that single mothers experienced both poorer mental health and QOL. [11] Results also indicated that single mothers were more likely to have higher stress levels, depressive symptoms, and lower levels of perceived social support and contact with friends and family. All of these factors are directly tied to healthcare disengagement and can help us understand some of the vast </w:t>
      </w:r>
      <w:r>
        <w:rPr>
          <w:rFonts w:ascii="Times New Roman" w:eastAsia="Times New Roman" w:hAnsi="Times New Roman" w:cs="Times New Roman"/>
          <w:sz w:val="24"/>
          <w:szCs w:val="24"/>
        </w:rPr>
        <w:lastRenderedPageBreak/>
        <w:t xml:space="preserve">discrepancies in data between single women and other populations. Similarly, a 2019 study sought to explore the increased risk factors for depression, anxiety, and stress that are correlated with single motherhood. Results indicated that single mothers reported double the amount of depressive and anxiety-related symptoms compared to partnered mothers. [12] This discrepancy was partially correlated with inadequate social support and a history of partner or childhood mistreatment. </w:t>
      </w:r>
    </w:p>
    <w:p w14:paraId="0000006F"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of this information exemplifies the significant role SDOH can have on a patient’s ability to respond to care and adhere to healthy behaviors or a management plan. In the provided example, it was clear that the patient made the appointment because she was concerned about her health and lack of sleep. Despite her hope of finding answers, external factors made the discussion unproductive and distracting, undermining her ability to focus on her health. As I continue to pursue a career in medicine, I hope to</w:t>
      </w:r>
      <w:r>
        <w:rPr>
          <w:rFonts w:ascii="Times New Roman" w:eastAsia="Times New Roman" w:hAnsi="Times New Roman" w:cs="Times New Roman"/>
          <w:sz w:val="24"/>
          <w:szCs w:val="24"/>
        </w:rPr>
        <w:t xml:space="preserve"> consider SDOH in the communities I serve as one way to bridge the gap between social and medical care. </w:t>
      </w:r>
    </w:p>
    <w:p w14:paraId="00000070"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5" w:name="_1gvn0ktlacee" w:colFirst="0" w:colLast="0"/>
      <w:bookmarkEnd w:id="5"/>
      <w:r>
        <w:rPr>
          <w:rFonts w:ascii="Times New Roman" w:eastAsia="Times New Roman" w:hAnsi="Times New Roman" w:cs="Times New Roman"/>
          <w:b/>
          <w:bCs/>
          <w:sz w:val="24"/>
          <w:szCs w:val="24"/>
          <w:u w:val="single"/>
        </w:rPr>
        <w:t>CONCLUSION</w:t>
      </w:r>
    </w:p>
    <w:p w14:paraId="00000071"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As I reflect on my experiences throughout the two years I spent in the MMSc. in the Biomedical Science program at Miami University, I am grateful for the knowledge I gained and the opportunities I had. Each section in this report represents a unique building block for delivering high-quality, patient-centered care. These opportunities have redefined my perspective on medical practice and the importance of clinical knowledge and effective communication. </w:t>
      </w:r>
    </w:p>
    <w:p w14:paraId="00000072" w14:textId="77777777" w:rsidR="00C82299" w:rsidRDefault="007B105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next step in my pursuit of becoming a healthcare professional will be to apply to medical school and prepare for further medical education. As I embark on this exciting journey, I will take these lessons with me. I am confident that this program has greatly developed me as an </w:t>
      </w:r>
      <w:r>
        <w:rPr>
          <w:rFonts w:ascii="Times New Roman" w:eastAsia="Times New Roman" w:hAnsi="Times New Roman" w:cs="Times New Roman"/>
          <w:sz w:val="24"/>
          <w:szCs w:val="24"/>
        </w:rPr>
        <w:lastRenderedPageBreak/>
        <w:t>individual and reinforced my passion for healthcare and my desire to be an effective and compassionate physician.</w:t>
      </w:r>
    </w:p>
    <w:p w14:paraId="00000073" w14:textId="77777777" w:rsidR="00C82299" w:rsidRDefault="00C82299">
      <w:pPr>
        <w:spacing w:line="480" w:lineRule="auto"/>
        <w:rPr>
          <w:rFonts w:ascii="Times New Roman" w:eastAsia="Times New Roman" w:hAnsi="Times New Roman" w:cs="Times New Roman"/>
          <w:b/>
          <w:bCs/>
          <w:sz w:val="24"/>
          <w:szCs w:val="24"/>
          <w:u w:val="single"/>
        </w:rPr>
      </w:pPr>
    </w:p>
    <w:p w14:paraId="00000074" w14:textId="77777777" w:rsidR="00C82299" w:rsidRDefault="00C82299">
      <w:pPr>
        <w:spacing w:line="480" w:lineRule="auto"/>
        <w:rPr>
          <w:rFonts w:ascii="Times New Roman" w:eastAsia="Times New Roman" w:hAnsi="Times New Roman" w:cs="Times New Roman"/>
          <w:b/>
          <w:bCs/>
          <w:sz w:val="24"/>
          <w:szCs w:val="24"/>
          <w:u w:val="single"/>
        </w:rPr>
      </w:pPr>
    </w:p>
    <w:p w14:paraId="00000075" w14:textId="77777777" w:rsidR="00C82299" w:rsidRDefault="00C82299">
      <w:pPr>
        <w:spacing w:line="480" w:lineRule="auto"/>
        <w:rPr>
          <w:rFonts w:ascii="Times New Roman" w:eastAsia="Times New Roman" w:hAnsi="Times New Roman" w:cs="Times New Roman"/>
          <w:b/>
          <w:bCs/>
          <w:sz w:val="24"/>
          <w:szCs w:val="24"/>
          <w:u w:val="single"/>
        </w:rPr>
      </w:pPr>
    </w:p>
    <w:p w14:paraId="00000076" w14:textId="77777777" w:rsidR="00C82299" w:rsidRDefault="00C82299">
      <w:pPr>
        <w:spacing w:line="480" w:lineRule="auto"/>
        <w:rPr>
          <w:rFonts w:ascii="Times New Roman" w:eastAsia="Times New Roman" w:hAnsi="Times New Roman" w:cs="Times New Roman"/>
          <w:b/>
          <w:bCs/>
          <w:sz w:val="24"/>
          <w:szCs w:val="24"/>
          <w:u w:val="single"/>
        </w:rPr>
      </w:pPr>
    </w:p>
    <w:p w14:paraId="00000077" w14:textId="77777777" w:rsidR="00C82299" w:rsidRDefault="00C82299">
      <w:pPr>
        <w:spacing w:line="480" w:lineRule="auto"/>
        <w:rPr>
          <w:rFonts w:ascii="Times New Roman" w:eastAsia="Times New Roman" w:hAnsi="Times New Roman" w:cs="Times New Roman"/>
          <w:b/>
          <w:bCs/>
          <w:sz w:val="24"/>
          <w:szCs w:val="24"/>
          <w:u w:val="single"/>
        </w:rPr>
      </w:pPr>
    </w:p>
    <w:p w14:paraId="00000078" w14:textId="77777777" w:rsidR="00C82299" w:rsidRDefault="00C82299">
      <w:pPr>
        <w:spacing w:line="480" w:lineRule="auto"/>
        <w:rPr>
          <w:rFonts w:ascii="Times New Roman" w:eastAsia="Times New Roman" w:hAnsi="Times New Roman" w:cs="Times New Roman"/>
          <w:b/>
          <w:bCs/>
          <w:sz w:val="24"/>
          <w:szCs w:val="24"/>
          <w:u w:val="single"/>
        </w:rPr>
      </w:pPr>
    </w:p>
    <w:p w14:paraId="00000079" w14:textId="77777777" w:rsidR="00C82299" w:rsidRDefault="00C82299">
      <w:pPr>
        <w:spacing w:line="480" w:lineRule="auto"/>
        <w:rPr>
          <w:rFonts w:ascii="Times New Roman" w:eastAsia="Times New Roman" w:hAnsi="Times New Roman" w:cs="Times New Roman"/>
          <w:b/>
          <w:bCs/>
          <w:sz w:val="24"/>
          <w:szCs w:val="24"/>
          <w:u w:val="single"/>
        </w:rPr>
      </w:pPr>
    </w:p>
    <w:p w14:paraId="0000007A" w14:textId="77777777" w:rsidR="00C82299" w:rsidRDefault="00C82299">
      <w:pPr>
        <w:spacing w:line="480" w:lineRule="auto"/>
        <w:rPr>
          <w:rFonts w:ascii="Times New Roman" w:eastAsia="Times New Roman" w:hAnsi="Times New Roman" w:cs="Times New Roman"/>
          <w:b/>
          <w:bCs/>
          <w:sz w:val="24"/>
          <w:szCs w:val="24"/>
          <w:u w:val="single"/>
        </w:rPr>
      </w:pPr>
    </w:p>
    <w:p w14:paraId="0000007B" w14:textId="77777777" w:rsidR="00C82299" w:rsidRDefault="00C82299">
      <w:pPr>
        <w:spacing w:line="480" w:lineRule="auto"/>
        <w:rPr>
          <w:rFonts w:ascii="Times New Roman" w:eastAsia="Times New Roman" w:hAnsi="Times New Roman" w:cs="Times New Roman"/>
          <w:b/>
          <w:bCs/>
          <w:sz w:val="24"/>
          <w:szCs w:val="24"/>
          <w:u w:val="single"/>
        </w:rPr>
      </w:pPr>
    </w:p>
    <w:p w14:paraId="0000007C" w14:textId="77777777" w:rsidR="00C82299" w:rsidRDefault="00C82299">
      <w:pPr>
        <w:spacing w:line="480" w:lineRule="auto"/>
        <w:rPr>
          <w:rFonts w:ascii="Times New Roman" w:eastAsia="Times New Roman" w:hAnsi="Times New Roman" w:cs="Times New Roman"/>
          <w:b/>
          <w:bCs/>
          <w:sz w:val="24"/>
          <w:szCs w:val="24"/>
          <w:u w:val="single"/>
        </w:rPr>
      </w:pPr>
    </w:p>
    <w:p w14:paraId="0000007D" w14:textId="77777777" w:rsidR="00C82299" w:rsidRDefault="00C82299">
      <w:pPr>
        <w:spacing w:line="480" w:lineRule="auto"/>
        <w:rPr>
          <w:rFonts w:ascii="Times New Roman" w:eastAsia="Times New Roman" w:hAnsi="Times New Roman" w:cs="Times New Roman"/>
          <w:b/>
          <w:bCs/>
          <w:sz w:val="24"/>
          <w:szCs w:val="24"/>
          <w:u w:val="single"/>
        </w:rPr>
      </w:pPr>
    </w:p>
    <w:p w14:paraId="0000007E" w14:textId="77777777" w:rsidR="00C82299" w:rsidRDefault="00C82299">
      <w:pPr>
        <w:spacing w:line="480" w:lineRule="auto"/>
        <w:rPr>
          <w:rFonts w:ascii="Times New Roman" w:eastAsia="Times New Roman" w:hAnsi="Times New Roman" w:cs="Times New Roman"/>
          <w:b/>
          <w:bCs/>
          <w:sz w:val="24"/>
          <w:szCs w:val="24"/>
          <w:u w:val="single"/>
        </w:rPr>
      </w:pPr>
    </w:p>
    <w:p w14:paraId="0000007F" w14:textId="77777777" w:rsidR="00C82299" w:rsidRDefault="00C82299">
      <w:pPr>
        <w:spacing w:line="480" w:lineRule="auto"/>
        <w:rPr>
          <w:rFonts w:ascii="Times New Roman" w:eastAsia="Times New Roman" w:hAnsi="Times New Roman" w:cs="Times New Roman"/>
          <w:b/>
          <w:bCs/>
          <w:sz w:val="24"/>
          <w:szCs w:val="24"/>
          <w:u w:val="single"/>
        </w:rPr>
      </w:pPr>
    </w:p>
    <w:p w14:paraId="00000080" w14:textId="77777777" w:rsidR="00C82299" w:rsidRDefault="00C82299">
      <w:pPr>
        <w:spacing w:line="480" w:lineRule="auto"/>
        <w:rPr>
          <w:rFonts w:ascii="Times New Roman" w:eastAsia="Times New Roman" w:hAnsi="Times New Roman" w:cs="Times New Roman"/>
          <w:b/>
          <w:bCs/>
          <w:sz w:val="24"/>
          <w:szCs w:val="24"/>
          <w:u w:val="single"/>
        </w:rPr>
      </w:pPr>
    </w:p>
    <w:p w14:paraId="00000081" w14:textId="77777777" w:rsidR="00C82299" w:rsidRDefault="00C82299">
      <w:pPr>
        <w:spacing w:line="480" w:lineRule="auto"/>
        <w:rPr>
          <w:rFonts w:ascii="Times New Roman" w:eastAsia="Times New Roman" w:hAnsi="Times New Roman" w:cs="Times New Roman"/>
          <w:b/>
          <w:bCs/>
          <w:sz w:val="24"/>
          <w:szCs w:val="24"/>
          <w:u w:val="single"/>
        </w:rPr>
      </w:pPr>
    </w:p>
    <w:p w14:paraId="00000082" w14:textId="77777777" w:rsidR="00C82299" w:rsidRDefault="00C82299">
      <w:pPr>
        <w:spacing w:line="480" w:lineRule="auto"/>
        <w:rPr>
          <w:rFonts w:ascii="Times New Roman" w:eastAsia="Times New Roman" w:hAnsi="Times New Roman" w:cs="Times New Roman"/>
          <w:b/>
          <w:bCs/>
          <w:sz w:val="24"/>
          <w:szCs w:val="24"/>
          <w:u w:val="single"/>
        </w:rPr>
      </w:pPr>
    </w:p>
    <w:p w14:paraId="00000083" w14:textId="77777777" w:rsidR="00C82299" w:rsidRDefault="00C82299">
      <w:pPr>
        <w:spacing w:line="480" w:lineRule="auto"/>
        <w:rPr>
          <w:rFonts w:ascii="Times New Roman" w:eastAsia="Times New Roman" w:hAnsi="Times New Roman" w:cs="Times New Roman"/>
          <w:b/>
          <w:bCs/>
          <w:sz w:val="24"/>
          <w:szCs w:val="24"/>
          <w:u w:val="single"/>
        </w:rPr>
      </w:pPr>
    </w:p>
    <w:p w14:paraId="00000084" w14:textId="77777777" w:rsidR="00C82299" w:rsidRDefault="00C82299">
      <w:pPr>
        <w:spacing w:line="480" w:lineRule="auto"/>
        <w:rPr>
          <w:rFonts w:ascii="Times New Roman" w:eastAsia="Times New Roman" w:hAnsi="Times New Roman" w:cs="Times New Roman"/>
          <w:b/>
          <w:bCs/>
          <w:sz w:val="24"/>
          <w:szCs w:val="24"/>
          <w:u w:val="single"/>
        </w:rPr>
      </w:pPr>
    </w:p>
    <w:p w14:paraId="00000085" w14:textId="77777777" w:rsidR="00C82299" w:rsidRDefault="00C82299"/>
    <w:p w14:paraId="00000086" w14:textId="77777777" w:rsidR="00C82299" w:rsidRDefault="007B1053">
      <w:pPr>
        <w:pStyle w:val="Heading1"/>
        <w:spacing w:line="480" w:lineRule="auto"/>
        <w:rPr>
          <w:rFonts w:ascii="Times New Roman" w:eastAsia="Times New Roman" w:hAnsi="Times New Roman" w:cs="Times New Roman"/>
          <w:b/>
          <w:bCs/>
          <w:sz w:val="24"/>
          <w:szCs w:val="24"/>
          <w:u w:val="single"/>
        </w:rPr>
      </w:pPr>
      <w:bookmarkStart w:id="6" w:name="_a0m0bretiow9" w:colFirst="0" w:colLast="0"/>
      <w:bookmarkEnd w:id="6"/>
      <w:r>
        <w:rPr>
          <w:rFonts w:ascii="Times New Roman" w:eastAsia="Times New Roman" w:hAnsi="Times New Roman" w:cs="Times New Roman"/>
          <w:b/>
          <w:bCs/>
          <w:sz w:val="24"/>
          <w:szCs w:val="24"/>
          <w:u w:val="single"/>
        </w:rPr>
        <w:lastRenderedPageBreak/>
        <w:t>REFERENCES</w:t>
      </w:r>
    </w:p>
    <w:p w14:paraId="00000087"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Heidenreich, P. (2022). 2022 AHA/ACC/HFSA Guideline for the Management of Heart Failure: A Report of the American College of Cardiology/American Heart Association Joint Committee on Clinical Practice Guidelines. </w:t>
      </w:r>
      <w:r>
        <w:rPr>
          <w:rFonts w:ascii="Times New Roman" w:eastAsia="Times New Roman" w:hAnsi="Times New Roman" w:cs="Times New Roman"/>
          <w:i/>
          <w:iCs/>
          <w:sz w:val="24"/>
          <w:szCs w:val="24"/>
        </w:rPr>
        <w:t>Circulation</w:t>
      </w:r>
      <w:r>
        <w:rPr>
          <w:rFonts w:ascii="Times New Roman" w:eastAsia="Times New Roman" w:hAnsi="Times New Roman" w:cs="Times New Roman"/>
          <w:sz w:val="24"/>
          <w:szCs w:val="24"/>
        </w:rPr>
        <w:t xml:space="preserve">, 145(18). </w:t>
      </w:r>
      <w:hyperlink r:id="rId6">
        <w:r>
          <w:rPr>
            <w:rFonts w:ascii="Times New Roman" w:eastAsia="Times New Roman" w:hAnsi="Times New Roman" w:cs="Times New Roman"/>
            <w:color w:val="1155CC"/>
            <w:sz w:val="24"/>
            <w:szCs w:val="24"/>
            <w:u w:val="single"/>
          </w:rPr>
          <w:t>https://doi.org/10.1161/CIR.0000000000001063</w:t>
        </w:r>
      </w:hyperlink>
      <w:r>
        <w:rPr>
          <w:rFonts w:ascii="Times New Roman" w:eastAsia="Times New Roman" w:hAnsi="Times New Roman" w:cs="Times New Roman"/>
          <w:sz w:val="24"/>
          <w:szCs w:val="24"/>
        </w:rPr>
        <w:t xml:space="preserve"> </w:t>
      </w:r>
    </w:p>
    <w:p w14:paraId="00000088" w14:textId="77777777" w:rsidR="00C82299" w:rsidRDefault="00C82299">
      <w:pPr>
        <w:spacing w:line="480" w:lineRule="auto"/>
        <w:rPr>
          <w:rFonts w:ascii="Times New Roman" w:eastAsia="Times New Roman" w:hAnsi="Times New Roman" w:cs="Times New Roman"/>
          <w:sz w:val="24"/>
          <w:szCs w:val="24"/>
        </w:rPr>
      </w:pPr>
    </w:p>
    <w:p w14:paraId="00000089"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Faluk, M., Wardhere, A., Thakker, R., &amp; Khan, F. A. (2024). SGLT2 inhibitors in heart failure with preserved ejection fraction. </w:t>
      </w:r>
      <w:r>
        <w:rPr>
          <w:rFonts w:ascii="Times New Roman" w:eastAsia="Times New Roman" w:hAnsi="Times New Roman" w:cs="Times New Roman"/>
          <w:i/>
          <w:iCs/>
          <w:sz w:val="24"/>
          <w:szCs w:val="24"/>
        </w:rPr>
        <w:t>Current Problems in Cardiology</w:t>
      </w:r>
      <w:r>
        <w:rPr>
          <w:rFonts w:ascii="Times New Roman" w:eastAsia="Times New Roman" w:hAnsi="Times New Roman" w:cs="Times New Roman"/>
          <w:sz w:val="24"/>
          <w:szCs w:val="24"/>
        </w:rPr>
        <w:t xml:space="preserve">, 49(3), 102388. </w:t>
      </w:r>
      <w:hyperlink r:id="rId7">
        <w:r>
          <w:rPr>
            <w:rFonts w:ascii="Times New Roman" w:eastAsia="Times New Roman" w:hAnsi="Times New Roman" w:cs="Times New Roman"/>
            <w:color w:val="1155CC"/>
            <w:sz w:val="24"/>
            <w:szCs w:val="24"/>
            <w:u w:val="single"/>
          </w:rPr>
          <w:t>https://doi.org/10.1016/j.cpcardiol.2024.102388</w:t>
        </w:r>
      </w:hyperlink>
      <w:r>
        <w:rPr>
          <w:rFonts w:ascii="Times New Roman" w:eastAsia="Times New Roman" w:hAnsi="Times New Roman" w:cs="Times New Roman"/>
          <w:sz w:val="24"/>
          <w:szCs w:val="24"/>
        </w:rPr>
        <w:t xml:space="preserve"> </w:t>
      </w:r>
    </w:p>
    <w:p w14:paraId="0000008A" w14:textId="77777777" w:rsidR="00C82299" w:rsidRDefault="00C82299">
      <w:pPr>
        <w:spacing w:line="480" w:lineRule="auto"/>
        <w:rPr>
          <w:rFonts w:ascii="Times New Roman" w:eastAsia="Times New Roman" w:hAnsi="Times New Roman" w:cs="Times New Roman"/>
          <w:sz w:val="24"/>
          <w:szCs w:val="24"/>
        </w:rPr>
      </w:pPr>
    </w:p>
    <w:p w14:paraId="0000008B"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Donnan, K., &amp; Segar, L. (2019). SGLT2 inhibitors and metformin: Dual antihyperglycemic therapy and the risk of metabolic acidosis in type 2 diabetes. </w:t>
      </w:r>
      <w:r>
        <w:rPr>
          <w:rFonts w:ascii="Times New Roman" w:eastAsia="Times New Roman" w:hAnsi="Times New Roman" w:cs="Times New Roman"/>
          <w:i/>
          <w:iCs/>
          <w:sz w:val="24"/>
          <w:szCs w:val="24"/>
        </w:rPr>
        <w:t>European Journal of Pharmacology</w:t>
      </w:r>
      <w:r>
        <w:rPr>
          <w:rFonts w:ascii="Times New Roman" w:eastAsia="Times New Roman" w:hAnsi="Times New Roman" w:cs="Times New Roman"/>
          <w:sz w:val="24"/>
          <w:szCs w:val="24"/>
        </w:rPr>
        <w:t xml:space="preserve">, 846, 23–29. </w:t>
      </w:r>
      <w:hyperlink r:id="rId8">
        <w:r>
          <w:rPr>
            <w:rFonts w:ascii="Times New Roman" w:eastAsia="Times New Roman" w:hAnsi="Times New Roman" w:cs="Times New Roman"/>
            <w:color w:val="1155CC"/>
            <w:sz w:val="24"/>
            <w:szCs w:val="24"/>
            <w:u w:val="single"/>
          </w:rPr>
          <w:t>https://doi.org/10.1016/j.ejphar.2019.01.002</w:t>
        </w:r>
      </w:hyperlink>
      <w:r>
        <w:rPr>
          <w:rFonts w:ascii="Times New Roman" w:eastAsia="Times New Roman" w:hAnsi="Times New Roman" w:cs="Times New Roman"/>
          <w:sz w:val="24"/>
          <w:szCs w:val="24"/>
        </w:rPr>
        <w:t xml:space="preserve"> </w:t>
      </w:r>
    </w:p>
    <w:p w14:paraId="0000008C" w14:textId="77777777" w:rsidR="00C82299" w:rsidRDefault="00C82299">
      <w:pPr>
        <w:spacing w:line="480" w:lineRule="auto"/>
        <w:rPr>
          <w:rFonts w:ascii="Times New Roman" w:eastAsia="Times New Roman" w:hAnsi="Times New Roman" w:cs="Times New Roman"/>
          <w:sz w:val="24"/>
          <w:szCs w:val="24"/>
        </w:rPr>
      </w:pPr>
    </w:p>
    <w:p w14:paraId="0000008D"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Radhakrishnan, D. M., &amp; Goyal, V. (2018). Parkinson's disease: A review. </w:t>
      </w:r>
      <w:r>
        <w:rPr>
          <w:rFonts w:ascii="Times New Roman" w:eastAsia="Times New Roman" w:hAnsi="Times New Roman" w:cs="Times New Roman"/>
          <w:i/>
          <w:iCs/>
          <w:sz w:val="24"/>
          <w:szCs w:val="24"/>
        </w:rPr>
        <w:t>Neurology India</w:t>
      </w:r>
      <w:r>
        <w:rPr>
          <w:rFonts w:ascii="Times New Roman" w:eastAsia="Times New Roman" w:hAnsi="Times New Roman" w:cs="Times New Roman"/>
          <w:sz w:val="24"/>
          <w:szCs w:val="24"/>
        </w:rPr>
        <w:t xml:space="preserve">, 66(Supplement), S26–S35. </w:t>
      </w:r>
      <w:hyperlink r:id="rId9">
        <w:r>
          <w:rPr>
            <w:rFonts w:ascii="Times New Roman" w:eastAsia="Times New Roman" w:hAnsi="Times New Roman" w:cs="Times New Roman"/>
            <w:color w:val="1155CC"/>
            <w:sz w:val="24"/>
            <w:szCs w:val="24"/>
            <w:u w:val="single"/>
          </w:rPr>
          <w:t>https://doi.org/10.4103/0028-3886.226451</w:t>
        </w:r>
      </w:hyperlink>
    </w:p>
    <w:p w14:paraId="0000008E" w14:textId="77777777" w:rsidR="00C82299" w:rsidRDefault="00C82299">
      <w:pPr>
        <w:spacing w:line="480" w:lineRule="auto"/>
        <w:rPr>
          <w:rFonts w:ascii="Times New Roman" w:eastAsia="Times New Roman" w:hAnsi="Times New Roman" w:cs="Times New Roman"/>
          <w:sz w:val="24"/>
          <w:szCs w:val="24"/>
        </w:rPr>
      </w:pPr>
    </w:p>
    <w:p w14:paraId="0000008F"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Lee, T. A., Ramesh, D., Ushe, M., Norris, S. A., Tabbal, S. D., Perlmutter, J. S., &amp; Younce, J. R. (2025). Differentiating effects of levodopa and subthalamic nucleus deep brain stimulation on motor features in Parkinson's disease. </w:t>
      </w:r>
      <w:r>
        <w:rPr>
          <w:rFonts w:ascii="Times New Roman" w:eastAsia="Times New Roman" w:hAnsi="Times New Roman" w:cs="Times New Roman"/>
          <w:i/>
          <w:iCs/>
          <w:sz w:val="24"/>
          <w:szCs w:val="24"/>
        </w:rPr>
        <w:t>Clinical Parkinsonism &amp; Related Disorders</w:t>
      </w:r>
      <w:r>
        <w:rPr>
          <w:rFonts w:ascii="Times New Roman" w:eastAsia="Times New Roman" w:hAnsi="Times New Roman" w:cs="Times New Roman"/>
          <w:sz w:val="24"/>
          <w:szCs w:val="24"/>
        </w:rPr>
        <w:t xml:space="preserve">, 14, 100417. </w:t>
      </w:r>
      <w:hyperlink r:id="rId10">
        <w:r>
          <w:rPr>
            <w:rFonts w:ascii="Times New Roman" w:eastAsia="Times New Roman" w:hAnsi="Times New Roman" w:cs="Times New Roman"/>
            <w:color w:val="1155CC"/>
            <w:sz w:val="24"/>
            <w:szCs w:val="24"/>
            <w:u w:val="single"/>
          </w:rPr>
          <w:t>https://doi.org/10.1016/j.prdoa.2025.100417</w:t>
        </w:r>
      </w:hyperlink>
      <w:r>
        <w:rPr>
          <w:rFonts w:ascii="Times New Roman" w:eastAsia="Times New Roman" w:hAnsi="Times New Roman" w:cs="Times New Roman"/>
          <w:sz w:val="24"/>
          <w:szCs w:val="24"/>
        </w:rPr>
        <w:t xml:space="preserve"> </w:t>
      </w:r>
    </w:p>
    <w:p w14:paraId="00000090" w14:textId="77777777" w:rsidR="00C82299" w:rsidRDefault="00C82299">
      <w:pPr>
        <w:spacing w:line="480" w:lineRule="auto"/>
        <w:rPr>
          <w:rFonts w:ascii="Times New Roman" w:eastAsia="Times New Roman" w:hAnsi="Times New Roman" w:cs="Times New Roman"/>
          <w:sz w:val="24"/>
          <w:szCs w:val="24"/>
        </w:rPr>
      </w:pPr>
    </w:p>
    <w:p w14:paraId="00000091"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 Wirth, T., Ferreira, F., Vijiaratnam, N., Girges, C., Pakzad, A., de Roquemaurel, A., Sinani, O., Hyam, J., Hariz, M., Zrinzo, L., Akram, H., Limousin, P., &amp; Foltynie, T. (2023). Parkinson's Disease Tremor Differentially Responds to Levodopa and Subthalamic Stimulation. </w:t>
      </w:r>
      <w:r>
        <w:rPr>
          <w:rFonts w:ascii="Times New Roman" w:eastAsia="Times New Roman" w:hAnsi="Times New Roman" w:cs="Times New Roman"/>
          <w:i/>
          <w:iCs/>
          <w:sz w:val="24"/>
          <w:szCs w:val="24"/>
        </w:rPr>
        <w:t>Movement Disorders Clinical Practice</w:t>
      </w:r>
      <w:r>
        <w:rPr>
          <w:rFonts w:ascii="Times New Roman" w:eastAsia="Times New Roman" w:hAnsi="Times New Roman" w:cs="Times New Roman"/>
          <w:sz w:val="24"/>
          <w:szCs w:val="24"/>
        </w:rPr>
        <w:t xml:space="preserve">, 10(11), 1639–1649. </w:t>
      </w:r>
      <w:hyperlink r:id="rId11">
        <w:r>
          <w:rPr>
            <w:rFonts w:ascii="Times New Roman" w:eastAsia="Times New Roman" w:hAnsi="Times New Roman" w:cs="Times New Roman"/>
            <w:color w:val="1155CC"/>
            <w:sz w:val="24"/>
            <w:szCs w:val="24"/>
            <w:u w:val="single"/>
          </w:rPr>
          <w:t>https://doi.org/10.1002/mdc3.13876</w:t>
        </w:r>
      </w:hyperlink>
    </w:p>
    <w:p w14:paraId="00000092" w14:textId="77777777" w:rsidR="00C82299" w:rsidRDefault="00C82299">
      <w:pPr>
        <w:spacing w:line="480" w:lineRule="auto"/>
        <w:rPr>
          <w:rFonts w:ascii="Times New Roman" w:eastAsia="Times New Roman" w:hAnsi="Times New Roman" w:cs="Times New Roman"/>
          <w:sz w:val="24"/>
          <w:szCs w:val="24"/>
        </w:rPr>
      </w:pPr>
    </w:p>
    <w:p w14:paraId="00000093"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Chen, X., Liu, C., Yan, P., Wang, H., Xu, J., &amp; Yao, K. (2025). The impact of doctor-patient communication on patient satisfaction in outpatient settings: implications for medical training and practice. </w:t>
      </w:r>
      <w:r>
        <w:rPr>
          <w:rFonts w:ascii="Times New Roman" w:eastAsia="Times New Roman" w:hAnsi="Times New Roman" w:cs="Times New Roman"/>
          <w:i/>
          <w:iCs/>
          <w:sz w:val="24"/>
          <w:szCs w:val="24"/>
        </w:rPr>
        <w:t>BMC medical education</w:t>
      </w:r>
      <w:r>
        <w:rPr>
          <w:rFonts w:ascii="Times New Roman" w:eastAsia="Times New Roman" w:hAnsi="Times New Roman" w:cs="Times New Roman"/>
          <w:sz w:val="24"/>
          <w:szCs w:val="24"/>
        </w:rPr>
        <w:t xml:space="preserve">, 25(1), 830. </w:t>
      </w:r>
      <w:hyperlink r:id="rId12">
        <w:r>
          <w:rPr>
            <w:rFonts w:ascii="Times New Roman" w:eastAsia="Times New Roman" w:hAnsi="Times New Roman" w:cs="Times New Roman"/>
            <w:color w:val="1155CC"/>
            <w:sz w:val="24"/>
            <w:szCs w:val="24"/>
            <w:u w:val="single"/>
          </w:rPr>
          <w:t>https://doi.org/10.1186/s12909-025-07433-y</w:t>
        </w:r>
      </w:hyperlink>
    </w:p>
    <w:p w14:paraId="00000094" w14:textId="77777777" w:rsidR="00C82299" w:rsidRDefault="00C82299">
      <w:pPr>
        <w:spacing w:line="480" w:lineRule="auto"/>
        <w:rPr>
          <w:rFonts w:ascii="Times New Roman" w:eastAsia="Times New Roman" w:hAnsi="Times New Roman" w:cs="Times New Roman"/>
          <w:sz w:val="24"/>
          <w:szCs w:val="24"/>
        </w:rPr>
      </w:pPr>
    </w:p>
    <w:p w14:paraId="00000095"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Braam, A., Buljac-Samardzic, M., Hilders, C. G. J. M., &amp; van Wijngaarden, J. D. H. (2022). Collaboration Between Physicians from Different Medical Specialties in Hospital Settings: A Systematic Review. </w:t>
      </w:r>
      <w:r>
        <w:rPr>
          <w:rFonts w:ascii="Times New Roman" w:eastAsia="Times New Roman" w:hAnsi="Times New Roman" w:cs="Times New Roman"/>
          <w:i/>
          <w:iCs/>
          <w:sz w:val="24"/>
          <w:szCs w:val="24"/>
        </w:rPr>
        <w:t>Journal of Multidisciplinary Healthcare</w:t>
      </w:r>
      <w:r>
        <w:rPr>
          <w:rFonts w:ascii="Times New Roman" w:eastAsia="Times New Roman" w:hAnsi="Times New Roman" w:cs="Times New Roman"/>
          <w:sz w:val="24"/>
          <w:szCs w:val="24"/>
        </w:rPr>
        <w:t xml:space="preserve">, 15, 2277–2300. </w:t>
      </w:r>
      <w:hyperlink r:id="rId13">
        <w:r>
          <w:rPr>
            <w:rFonts w:ascii="Times New Roman" w:eastAsia="Times New Roman" w:hAnsi="Times New Roman" w:cs="Times New Roman"/>
            <w:color w:val="1155CC"/>
            <w:sz w:val="24"/>
            <w:szCs w:val="24"/>
            <w:u w:val="single"/>
          </w:rPr>
          <w:t>https://doi.org/10.2147/JMDH.S376927</w:t>
        </w:r>
      </w:hyperlink>
      <w:r>
        <w:rPr>
          <w:rFonts w:ascii="Times New Roman" w:eastAsia="Times New Roman" w:hAnsi="Times New Roman" w:cs="Times New Roman"/>
          <w:sz w:val="24"/>
          <w:szCs w:val="24"/>
        </w:rPr>
        <w:t xml:space="preserve"> </w:t>
      </w:r>
    </w:p>
    <w:p w14:paraId="00000096" w14:textId="77777777" w:rsidR="00C82299" w:rsidRDefault="00C82299">
      <w:pPr>
        <w:spacing w:line="480" w:lineRule="auto"/>
        <w:rPr>
          <w:rFonts w:ascii="Times New Roman" w:eastAsia="Times New Roman" w:hAnsi="Times New Roman" w:cs="Times New Roman"/>
          <w:sz w:val="24"/>
          <w:szCs w:val="24"/>
        </w:rPr>
      </w:pPr>
    </w:p>
    <w:p w14:paraId="00000097"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Centers for Disease Control and Prevention. (n.d.). Social Determinants of Health (SDOH). </w:t>
      </w:r>
      <w:r>
        <w:rPr>
          <w:rFonts w:ascii="Times New Roman" w:eastAsia="Times New Roman" w:hAnsi="Times New Roman" w:cs="Times New Roman"/>
          <w:i/>
          <w:iCs/>
          <w:sz w:val="24"/>
          <w:szCs w:val="24"/>
        </w:rPr>
        <w:t>Centers for Disease Control and Prevention</w:t>
      </w:r>
      <w:r>
        <w:rPr>
          <w:rFonts w:ascii="Times New Roman" w:eastAsia="Times New Roman" w:hAnsi="Times New Roman" w:cs="Times New Roman"/>
          <w:sz w:val="24"/>
          <w:szCs w:val="24"/>
        </w:rPr>
        <w:t xml:space="preserve">. </w:t>
      </w:r>
      <w:hyperlink r:id="rId14">
        <w:r>
          <w:rPr>
            <w:rFonts w:ascii="Times New Roman" w:eastAsia="Times New Roman" w:hAnsi="Times New Roman" w:cs="Times New Roman"/>
            <w:color w:val="1155CC"/>
            <w:sz w:val="24"/>
            <w:szCs w:val="24"/>
            <w:u w:val="single"/>
          </w:rPr>
          <w:t>https://www.cdc.gov/about/priorities/why-is-addressing-sdoh-important.html</w:t>
        </w:r>
      </w:hyperlink>
      <w:r>
        <w:rPr>
          <w:rFonts w:ascii="Times New Roman" w:eastAsia="Times New Roman" w:hAnsi="Times New Roman" w:cs="Times New Roman"/>
          <w:sz w:val="24"/>
          <w:szCs w:val="24"/>
        </w:rPr>
        <w:t xml:space="preserve"> </w:t>
      </w:r>
    </w:p>
    <w:p w14:paraId="00000098" w14:textId="77777777" w:rsidR="00C82299" w:rsidRDefault="00C82299">
      <w:pPr>
        <w:spacing w:line="480" w:lineRule="auto"/>
        <w:rPr>
          <w:rFonts w:ascii="Times New Roman" w:eastAsia="Times New Roman" w:hAnsi="Times New Roman" w:cs="Times New Roman"/>
          <w:sz w:val="24"/>
          <w:szCs w:val="24"/>
        </w:rPr>
      </w:pPr>
    </w:p>
    <w:p w14:paraId="00000099"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Salas-Betsch, I. (2024, Aug 7).</w:t>
      </w:r>
      <w:r>
        <w:rPr>
          <w:rFonts w:ascii="Times New Roman" w:eastAsia="Times New Roman" w:hAnsi="Times New Roman" w:cs="Times New Roman"/>
          <w:i/>
          <w:iCs/>
          <w:sz w:val="24"/>
          <w:szCs w:val="24"/>
        </w:rPr>
        <w:t xml:space="preserve"> The Economic Status of Single Mothers</w:t>
      </w:r>
      <w:r>
        <w:rPr>
          <w:rFonts w:ascii="Times New Roman" w:eastAsia="Times New Roman" w:hAnsi="Times New Roman" w:cs="Times New Roman"/>
          <w:sz w:val="24"/>
          <w:szCs w:val="24"/>
        </w:rPr>
        <w:t xml:space="preserve">. Center for American Progress. </w:t>
      </w:r>
      <w:hyperlink r:id="rId15">
        <w:r>
          <w:rPr>
            <w:rFonts w:ascii="Times New Roman" w:eastAsia="Times New Roman" w:hAnsi="Times New Roman" w:cs="Times New Roman"/>
            <w:color w:val="1155CC"/>
            <w:sz w:val="24"/>
            <w:szCs w:val="24"/>
            <w:u w:val="single"/>
          </w:rPr>
          <w:t>https://www.americanprogress.org/article/the-economic-status-of-single-mothers</w:t>
        </w:r>
      </w:hyperlink>
      <w:r>
        <w:rPr>
          <w:rFonts w:ascii="Times New Roman" w:eastAsia="Times New Roman" w:hAnsi="Times New Roman" w:cs="Times New Roman"/>
          <w:sz w:val="24"/>
          <w:szCs w:val="24"/>
        </w:rPr>
        <w:t>/</w:t>
      </w:r>
    </w:p>
    <w:p w14:paraId="0000009A" w14:textId="77777777" w:rsidR="00C82299" w:rsidRDefault="00C82299">
      <w:pPr>
        <w:spacing w:line="480" w:lineRule="auto"/>
        <w:rPr>
          <w:rFonts w:ascii="Times New Roman" w:eastAsia="Times New Roman" w:hAnsi="Times New Roman" w:cs="Times New Roman"/>
          <w:sz w:val="24"/>
          <w:szCs w:val="24"/>
        </w:rPr>
      </w:pPr>
    </w:p>
    <w:p w14:paraId="0000009B"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[11] Kim, G. E., &amp; Kim, E. J. (2020). Factors affecting the quality of life of single mothers compared to married mothers. </w:t>
      </w:r>
      <w:r>
        <w:rPr>
          <w:rFonts w:ascii="Times New Roman" w:eastAsia="Times New Roman" w:hAnsi="Times New Roman" w:cs="Times New Roman"/>
          <w:i/>
          <w:iCs/>
          <w:sz w:val="24"/>
          <w:szCs w:val="24"/>
        </w:rPr>
        <w:t>BMC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20</w:t>
      </w:r>
      <w:r>
        <w:rPr>
          <w:rFonts w:ascii="Times New Roman" w:eastAsia="Times New Roman" w:hAnsi="Times New Roman" w:cs="Times New Roman"/>
          <w:sz w:val="24"/>
          <w:szCs w:val="24"/>
        </w:rPr>
        <w:t xml:space="preserve">(1), 169. </w:t>
      </w:r>
      <w:hyperlink r:id="rId16">
        <w:r>
          <w:rPr>
            <w:rFonts w:ascii="Times New Roman" w:eastAsia="Times New Roman" w:hAnsi="Times New Roman" w:cs="Times New Roman"/>
            <w:color w:val="1155CC"/>
            <w:sz w:val="24"/>
            <w:szCs w:val="24"/>
            <w:u w:val="single"/>
          </w:rPr>
          <w:t>https://doi.org/10.1186/s12888-020-02586-0</w:t>
        </w:r>
      </w:hyperlink>
    </w:p>
    <w:p w14:paraId="0000009C" w14:textId="77777777" w:rsidR="00C82299" w:rsidRDefault="00C82299">
      <w:pPr>
        <w:spacing w:line="480" w:lineRule="auto"/>
        <w:rPr>
          <w:rFonts w:ascii="Times New Roman" w:eastAsia="Times New Roman" w:hAnsi="Times New Roman" w:cs="Times New Roman"/>
          <w:sz w:val="24"/>
          <w:szCs w:val="24"/>
        </w:rPr>
      </w:pPr>
    </w:p>
    <w:p w14:paraId="0000009D" w14:textId="77777777" w:rsidR="00C82299" w:rsidRDefault="007B105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Liang, L. A., Berger, U., &amp; Brand, C. (2019). Psychosocial factors associated with symptoms of depression, anxiety and stress among single mothers with young children: A population-based study. </w:t>
      </w:r>
      <w:r>
        <w:rPr>
          <w:rFonts w:ascii="Times New Roman" w:eastAsia="Times New Roman" w:hAnsi="Times New Roman" w:cs="Times New Roman"/>
          <w:i/>
          <w:iCs/>
          <w:sz w:val="24"/>
          <w:szCs w:val="24"/>
        </w:rPr>
        <w:t>Journal of Affective Disorders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242</w:t>
      </w:r>
      <w:r>
        <w:rPr>
          <w:rFonts w:ascii="Times New Roman" w:eastAsia="Times New Roman" w:hAnsi="Times New Roman" w:cs="Times New Roman"/>
          <w:sz w:val="24"/>
          <w:szCs w:val="24"/>
        </w:rPr>
        <w:t xml:space="preserve">, 255–264. </w:t>
      </w:r>
      <w:hyperlink r:id="rId17">
        <w:r>
          <w:rPr>
            <w:rFonts w:ascii="Times New Roman" w:eastAsia="Times New Roman" w:hAnsi="Times New Roman" w:cs="Times New Roman"/>
            <w:color w:val="1155CC"/>
            <w:sz w:val="24"/>
            <w:szCs w:val="24"/>
            <w:u w:val="single"/>
          </w:rPr>
          <w:t>https://doi.org/10.1016/j.jad.2018.08.013</w:t>
        </w:r>
      </w:hyperlink>
    </w:p>
    <w:sectPr w:rsidR="00C82299">
      <w:headerReference w:type="default" r:id="rId18"/>
      <w:headerReference w:type="first" r:id="rId19"/>
      <w:footerReference w:type="first" r:id="rId2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472C4" w14:textId="77777777" w:rsidR="007B1053" w:rsidRDefault="007B1053">
      <w:pPr>
        <w:spacing w:line="240" w:lineRule="auto"/>
      </w:pPr>
      <w:r>
        <w:separator/>
      </w:r>
    </w:p>
  </w:endnote>
  <w:endnote w:type="continuationSeparator" w:id="0">
    <w:p w14:paraId="0220CBD0" w14:textId="77777777" w:rsidR="007B1053" w:rsidRDefault="007B10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2E6DAE1-CDC6-44E0-BD75-59D7EF083307}"/>
  </w:font>
  <w:font w:name="Cambria">
    <w:panose1 w:val="02040503050406030204"/>
    <w:charset w:val="00"/>
    <w:family w:val="roman"/>
    <w:pitch w:val="variable"/>
    <w:sig w:usb0="E00006FF" w:usb1="420024FF" w:usb2="02000000" w:usb3="00000000" w:csb0="0000019F" w:csb1="00000000"/>
    <w:embedRegular r:id="rId2" w:fontKey="{CCF2AABF-15FF-48CF-B82C-D2FC080E49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0" w14:textId="77777777" w:rsidR="00C82299" w:rsidRDefault="00C822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D492" w14:textId="77777777" w:rsidR="007B1053" w:rsidRDefault="007B1053">
      <w:pPr>
        <w:spacing w:line="240" w:lineRule="auto"/>
      </w:pPr>
      <w:r>
        <w:separator/>
      </w:r>
    </w:p>
  </w:footnote>
  <w:footnote w:type="continuationSeparator" w:id="0">
    <w:p w14:paraId="4EDD2F22" w14:textId="77777777" w:rsidR="007B1053" w:rsidRDefault="007B10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E" w14:textId="77777777" w:rsidR="00C82299" w:rsidRDefault="00C822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F" w14:textId="77777777" w:rsidR="00C82299" w:rsidRDefault="00C82299">
    <w:pPr>
      <w:jc w:val="cente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299"/>
    <w:rsid w:val="005E019A"/>
    <w:rsid w:val="007B1053"/>
    <w:rsid w:val="009E6977"/>
    <w:rsid w:val="00C82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FF2660C-F4CA-43A7-A5A6-09436D4EC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16/j.ejphar.2019.01.002" TargetMode="External"/><Relationship Id="rId13" Type="http://schemas.openxmlformats.org/officeDocument/2006/relationships/hyperlink" Target="https://doi.org/10.2147/JMDH.S376927"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i.org/10.1016/j.cpcardiol.2024.102388" TargetMode="External"/><Relationship Id="rId12" Type="http://schemas.openxmlformats.org/officeDocument/2006/relationships/hyperlink" Target="https://doi.org/10.1186/s12909-025-07433-y" TargetMode="External"/><Relationship Id="rId17" Type="http://schemas.openxmlformats.org/officeDocument/2006/relationships/hyperlink" Target="https://doi.org/10.1016/j.jad.2018.08.013" TargetMode="External"/><Relationship Id="rId2" Type="http://schemas.openxmlformats.org/officeDocument/2006/relationships/settings" Target="settings.xml"/><Relationship Id="rId16" Type="http://schemas.openxmlformats.org/officeDocument/2006/relationships/hyperlink" Target="https://doi.org/10.1186/s12888-020-02586-0"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doi.org/10.1161/CIR.0000000000001063" TargetMode="External"/><Relationship Id="rId11" Type="http://schemas.openxmlformats.org/officeDocument/2006/relationships/hyperlink" Target="https://doi.org/10.1002/mdc3.13876" TargetMode="External"/><Relationship Id="rId5" Type="http://schemas.openxmlformats.org/officeDocument/2006/relationships/endnotes" Target="endnotes.xml"/><Relationship Id="rId15" Type="http://schemas.openxmlformats.org/officeDocument/2006/relationships/hyperlink" Target="https://www.americanprogress.org/article/the-economic-status-of-single-mothers/" TargetMode="External"/><Relationship Id="rId10" Type="http://schemas.openxmlformats.org/officeDocument/2006/relationships/hyperlink" Target="https://doi.org/10.1016/j.prdoa.2025.100417"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doi.org/10.4103/0028-3886.226451" TargetMode="External"/><Relationship Id="rId14" Type="http://schemas.openxmlformats.org/officeDocument/2006/relationships/hyperlink" Target="https://www.cdc.gov/about/priorities/why-is-addressing-sdoh-important.html"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4805</Words>
  <Characters>27394</Characters>
  <Application>Microsoft Office Word</Application>
  <DocSecurity>4</DocSecurity>
  <Lines>228</Lines>
  <Paragraphs>64</Paragraphs>
  <ScaleCrop>false</ScaleCrop>
  <Company/>
  <LinksUpToDate>false</LinksUpToDate>
  <CharactersWithSpaces>32135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DeLaet</dc:creator>
  <cp:lastModifiedBy>David DeLaet</cp:lastModifiedBy>
  <cp:revision>2</cp:revision>
  <dcterms:created xsi:type="dcterms:W3CDTF">2026-05-14T17:15:00Z</dcterms:created>
  <dcterms:modified xsi:type="dcterms:W3CDTF">2026-05-14T17:15:00Z</dcterms:modified>
</cp:coreProperties>
</file>