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B0F7E" w:rsidRDefault="00FB0F7E">
      <w:pPr>
        <w:spacing w:after="80" w:line="480" w:lineRule="auto"/>
        <w:jc w:val="center"/>
        <w:rPr>
          <w:rFonts w:ascii="Times New Roman" w:eastAsia="Times New Roman" w:hAnsi="Times New Roman" w:cs="Times New Roman"/>
          <w:sz w:val="24"/>
          <w:szCs w:val="24"/>
        </w:rPr>
      </w:pPr>
    </w:p>
    <w:p w14:paraId="00000002" w14:textId="77777777" w:rsidR="00FB0F7E" w:rsidRDefault="00FB0F7E">
      <w:pPr>
        <w:spacing w:after="80" w:line="480" w:lineRule="auto"/>
        <w:jc w:val="center"/>
        <w:rPr>
          <w:rFonts w:ascii="Times New Roman" w:eastAsia="Times New Roman" w:hAnsi="Times New Roman" w:cs="Times New Roman"/>
          <w:sz w:val="24"/>
          <w:szCs w:val="24"/>
        </w:rPr>
      </w:pPr>
    </w:p>
    <w:p w14:paraId="00000003" w14:textId="77777777" w:rsidR="00FB0F7E" w:rsidRDefault="00945CC1">
      <w:pPr>
        <w:spacing w:after="8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Mia D Baker</w:t>
      </w:r>
    </w:p>
    <w:p w14:paraId="00000004"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CAPSTONE REPORT</w:t>
      </w:r>
    </w:p>
    <w:p w14:paraId="00000005" w14:textId="77777777" w:rsidR="00FB0F7E" w:rsidRDefault="00FB0F7E">
      <w:pPr>
        <w:spacing w:line="480" w:lineRule="auto"/>
        <w:jc w:val="center"/>
        <w:rPr>
          <w:rFonts w:ascii="Times New Roman" w:eastAsia="Times New Roman" w:hAnsi="Times New Roman" w:cs="Times New Roman"/>
          <w:sz w:val="24"/>
          <w:szCs w:val="24"/>
        </w:rPr>
      </w:pPr>
    </w:p>
    <w:p w14:paraId="00000006"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Presented to the Faculty of Miami University in partial </w:t>
      </w:r>
    </w:p>
    <w:p w14:paraId="00000007"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Fulfillment of the requirements </w:t>
      </w:r>
    </w:p>
    <w:p w14:paraId="00000008"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degree of </w:t>
      </w:r>
    </w:p>
    <w:p w14:paraId="00000009" w14:textId="77777777" w:rsidR="00FB0F7E" w:rsidRDefault="00FB0F7E">
      <w:pPr>
        <w:spacing w:line="480" w:lineRule="auto"/>
        <w:jc w:val="center"/>
        <w:rPr>
          <w:rFonts w:ascii="Times New Roman" w:eastAsia="Times New Roman" w:hAnsi="Times New Roman" w:cs="Times New Roman"/>
          <w:sz w:val="24"/>
          <w:szCs w:val="24"/>
        </w:rPr>
      </w:pPr>
    </w:p>
    <w:p w14:paraId="0000000A"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Medical Science</w:t>
      </w:r>
    </w:p>
    <w:p w14:paraId="0000000B" w14:textId="77777777" w:rsidR="00FB0F7E" w:rsidRDefault="00FB0F7E">
      <w:pPr>
        <w:spacing w:line="480" w:lineRule="auto"/>
        <w:jc w:val="center"/>
        <w:rPr>
          <w:rFonts w:ascii="Times New Roman" w:eastAsia="Times New Roman" w:hAnsi="Times New Roman" w:cs="Times New Roman"/>
          <w:sz w:val="24"/>
          <w:szCs w:val="24"/>
        </w:rPr>
      </w:pPr>
    </w:p>
    <w:p w14:paraId="0000000C"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Biomedical Science</w:t>
      </w:r>
    </w:p>
    <w:p w14:paraId="0000000D" w14:textId="77777777" w:rsidR="00FB0F7E" w:rsidRDefault="00FB0F7E">
      <w:pPr>
        <w:spacing w:line="480" w:lineRule="auto"/>
        <w:jc w:val="center"/>
        <w:rPr>
          <w:rFonts w:ascii="Times New Roman" w:eastAsia="Times New Roman" w:hAnsi="Times New Roman" w:cs="Times New Roman"/>
          <w:sz w:val="24"/>
          <w:szCs w:val="24"/>
        </w:rPr>
      </w:pPr>
    </w:p>
    <w:p w14:paraId="0000000E"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College of Art and Science</w:t>
      </w:r>
    </w:p>
    <w:p w14:paraId="0000000F"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Graduate School</w:t>
      </w:r>
    </w:p>
    <w:p w14:paraId="00000010"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Miami University</w:t>
      </w:r>
    </w:p>
    <w:p w14:paraId="00000011"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Oxford, Ohio</w:t>
      </w:r>
    </w:p>
    <w:p w14:paraId="00000012" w14:textId="77777777" w:rsidR="00FB0F7E" w:rsidRDefault="00945CC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p w14:paraId="00000013" w14:textId="77777777" w:rsidR="00FB0F7E" w:rsidRDefault="00FB0F7E">
      <w:pPr>
        <w:spacing w:after="80" w:line="480" w:lineRule="auto"/>
        <w:rPr>
          <w:rFonts w:ascii="Times New Roman" w:eastAsia="Times New Roman" w:hAnsi="Times New Roman" w:cs="Times New Roman"/>
          <w:sz w:val="24"/>
          <w:szCs w:val="24"/>
        </w:rPr>
      </w:pPr>
    </w:p>
    <w:p w14:paraId="00000014" w14:textId="77777777" w:rsidR="00FB0F7E" w:rsidRDefault="00FB0F7E">
      <w:pPr>
        <w:spacing w:after="80" w:line="480" w:lineRule="auto"/>
        <w:rPr>
          <w:rFonts w:ascii="Times New Roman" w:eastAsia="Times New Roman" w:hAnsi="Times New Roman" w:cs="Times New Roman"/>
          <w:sz w:val="24"/>
          <w:szCs w:val="24"/>
        </w:rPr>
      </w:pPr>
    </w:p>
    <w:p w14:paraId="00000015" w14:textId="77777777" w:rsidR="00FB0F7E" w:rsidRDefault="00FB0F7E">
      <w:pPr>
        <w:spacing w:after="80" w:line="480" w:lineRule="auto"/>
        <w:rPr>
          <w:rFonts w:ascii="Times New Roman" w:eastAsia="Times New Roman" w:hAnsi="Times New Roman" w:cs="Times New Roman"/>
          <w:sz w:val="24"/>
          <w:szCs w:val="24"/>
        </w:rPr>
      </w:pPr>
    </w:p>
    <w:p w14:paraId="00000016" w14:textId="77777777" w:rsidR="00FB0F7E" w:rsidRDefault="00FB0F7E">
      <w:pPr>
        <w:spacing w:after="80" w:line="480" w:lineRule="auto"/>
        <w:rPr>
          <w:rFonts w:ascii="Times New Roman" w:eastAsia="Times New Roman" w:hAnsi="Times New Roman" w:cs="Times New Roman"/>
          <w:sz w:val="24"/>
          <w:szCs w:val="24"/>
        </w:rPr>
      </w:pPr>
    </w:p>
    <w:p w14:paraId="00000017" w14:textId="77777777" w:rsidR="00FB0F7E" w:rsidRDefault="00FB0F7E">
      <w:pPr>
        <w:spacing w:after="80" w:line="480" w:lineRule="auto"/>
        <w:rPr>
          <w:rFonts w:ascii="Times New Roman" w:eastAsia="Times New Roman" w:hAnsi="Times New Roman" w:cs="Times New Roman"/>
          <w:sz w:val="24"/>
          <w:szCs w:val="24"/>
        </w:rPr>
      </w:pPr>
    </w:p>
    <w:p w14:paraId="00000018" w14:textId="77777777" w:rsidR="00FB0F7E" w:rsidRDefault="00FB0F7E">
      <w:pPr>
        <w:spacing w:after="80" w:line="480" w:lineRule="auto"/>
        <w:rPr>
          <w:rFonts w:ascii="Times New Roman" w:eastAsia="Times New Roman" w:hAnsi="Times New Roman" w:cs="Times New Roman"/>
          <w:sz w:val="24"/>
          <w:szCs w:val="24"/>
        </w:rPr>
      </w:pPr>
    </w:p>
    <w:p w14:paraId="00000019" w14:textId="77777777" w:rsidR="00FB0F7E" w:rsidRDefault="00FB0F7E">
      <w:pPr>
        <w:spacing w:after="80" w:line="480" w:lineRule="auto"/>
        <w:rPr>
          <w:rFonts w:ascii="Times New Roman" w:eastAsia="Times New Roman" w:hAnsi="Times New Roman" w:cs="Times New Roman"/>
          <w:sz w:val="24"/>
          <w:szCs w:val="24"/>
        </w:rPr>
      </w:pPr>
    </w:p>
    <w:p w14:paraId="0000001A" w14:textId="77777777" w:rsidR="00FB0F7E" w:rsidRDefault="00945CC1">
      <w:pPr>
        <w:spacing w:after="8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1B" w14:textId="77777777" w:rsidR="00FB0F7E" w:rsidRDefault="00FB0F7E">
      <w:pPr>
        <w:spacing w:after="80" w:line="480" w:lineRule="auto"/>
        <w:jc w:val="center"/>
        <w:rPr>
          <w:rFonts w:ascii="Times New Roman" w:eastAsia="Times New Roman" w:hAnsi="Times New Roman" w:cs="Times New Roman"/>
          <w:sz w:val="24"/>
          <w:szCs w:val="24"/>
        </w:rPr>
      </w:pPr>
    </w:p>
    <w:p w14:paraId="0000001C" w14:textId="77777777" w:rsidR="00FB0F7E" w:rsidRDefault="00945CC1">
      <w:pPr>
        <w:spacing w:after="8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Mia D Baker</w:t>
      </w:r>
    </w:p>
    <w:p w14:paraId="0000001D" w14:textId="77777777" w:rsidR="00FB0F7E" w:rsidRDefault="00FB0F7E">
      <w:pPr>
        <w:spacing w:after="80" w:line="480" w:lineRule="auto"/>
        <w:jc w:val="center"/>
        <w:rPr>
          <w:rFonts w:ascii="Times New Roman" w:eastAsia="Times New Roman" w:hAnsi="Times New Roman" w:cs="Times New Roman"/>
          <w:sz w:val="24"/>
          <w:szCs w:val="24"/>
        </w:rPr>
      </w:pPr>
    </w:p>
    <w:p w14:paraId="0000001E" w14:textId="77777777" w:rsidR="00FB0F7E" w:rsidRDefault="00945CC1">
      <w:pPr>
        <w:spacing w:after="8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p w14:paraId="0000001F" w14:textId="77777777" w:rsidR="00FB0F7E" w:rsidRDefault="00FB0F7E">
      <w:pPr>
        <w:spacing w:after="80" w:line="480" w:lineRule="auto"/>
        <w:jc w:val="center"/>
        <w:rPr>
          <w:rFonts w:ascii="Times New Roman" w:eastAsia="Times New Roman" w:hAnsi="Times New Roman" w:cs="Times New Roman"/>
          <w:sz w:val="24"/>
          <w:szCs w:val="24"/>
        </w:rPr>
      </w:pPr>
    </w:p>
    <w:p w14:paraId="00000020" w14:textId="77777777" w:rsidR="00FB0F7E" w:rsidRDefault="00FB0F7E">
      <w:pPr>
        <w:spacing w:after="80" w:line="480" w:lineRule="auto"/>
        <w:rPr>
          <w:rFonts w:ascii="Times New Roman" w:eastAsia="Times New Roman" w:hAnsi="Times New Roman" w:cs="Times New Roman"/>
          <w:sz w:val="24"/>
          <w:szCs w:val="24"/>
        </w:rPr>
      </w:pPr>
    </w:p>
    <w:p w14:paraId="00000021" w14:textId="77777777" w:rsidR="00FB0F7E" w:rsidRDefault="00FB0F7E">
      <w:pPr>
        <w:spacing w:after="80" w:line="480" w:lineRule="auto"/>
        <w:rPr>
          <w:rFonts w:ascii="Times New Roman" w:eastAsia="Times New Roman" w:hAnsi="Times New Roman" w:cs="Times New Roman"/>
          <w:sz w:val="24"/>
          <w:szCs w:val="24"/>
        </w:rPr>
      </w:pPr>
    </w:p>
    <w:p w14:paraId="00000022" w14:textId="77777777" w:rsidR="00FB0F7E" w:rsidRDefault="00FB0F7E">
      <w:pPr>
        <w:spacing w:after="80" w:line="480" w:lineRule="auto"/>
        <w:rPr>
          <w:rFonts w:ascii="Times New Roman" w:eastAsia="Times New Roman" w:hAnsi="Times New Roman" w:cs="Times New Roman"/>
          <w:sz w:val="24"/>
          <w:szCs w:val="24"/>
        </w:rPr>
      </w:pPr>
    </w:p>
    <w:p w14:paraId="00000023" w14:textId="77777777" w:rsidR="00FB0F7E" w:rsidRDefault="00FB0F7E">
      <w:pPr>
        <w:spacing w:after="80" w:line="480" w:lineRule="auto"/>
        <w:rPr>
          <w:rFonts w:ascii="Times New Roman" w:eastAsia="Times New Roman" w:hAnsi="Times New Roman" w:cs="Times New Roman"/>
          <w:sz w:val="24"/>
          <w:szCs w:val="24"/>
        </w:rPr>
      </w:pPr>
    </w:p>
    <w:p w14:paraId="00000024" w14:textId="77777777" w:rsidR="00FB0F7E" w:rsidRDefault="00FB0F7E">
      <w:pPr>
        <w:spacing w:after="80" w:line="480" w:lineRule="auto"/>
        <w:rPr>
          <w:rFonts w:ascii="Times New Roman" w:eastAsia="Times New Roman" w:hAnsi="Times New Roman" w:cs="Times New Roman"/>
          <w:b/>
          <w:bCs/>
          <w:sz w:val="24"/>
          <w:szCs w:val="24"/>
        </w:rPr>
      </w:pPr>
    </w:p>
    <w:p w14:paraId="00000025" w14:textId="77777777" w:rsidR="00FB0F7E" w:rsidRDefault="00FB0F7E">
      <w:pPr>
        <w:spacing w:line="480" w:lineRule="auto"/>
        <w:rPr>
          <w:rFonts w:ascii="Times New Roman" w:eastAsia="Times New Roman" w:hAnsi="Times New Roman" w:cs="Times New Roman"/>
          <w:b/>
          <w:bCs/>
          <w:sz w:val="24"/>
          <w:szCs w:val="24"/>
        </w:rPr>
      </w:pPr>
    </w:p>
    <w:p w14:paraId="00000026" w14:textId="77777777" w:rsidR="00FB0F7E" w:rsidRDefault="00FB0F7E">
      <w:pPr>
        <w:spacing w:line="480" w:lineRule="auto"/>
        <w:rPr>
          <w:rFonts w:ascii="Times New Roman" w:eastAsia="Times New Roman" w:hAnsi="Times New Roman" w:cs="Times New Roman"/>
          <w:b/>
          <w:bCs/>
          <w:sz w:val="24"/>
          <w:szCs w:val="24"/>
        </w:rPr>
      </w:pPr>
    </w:p>
    <w:p w14:paraId="00000027" w14:textId="77777777" w:rsidR="00FB0F7E" w:rsidRDefault="00FB0F7E">
      <w:pPr>
        <w:spacing w:line="480" w:lineRule="auto"/>
        <w:rPr>
          <w:rFonts w:ascii="Times New Roman" w:eastAsia="Times New Roman" w:hAnsi="Times New Roman" w:cs="Times New Roman"/>
          <w:b/>
          <w:bCs/>
          <w:sz w:val="24"/>
          <w:szCs w:val="24"/>
        </w:rPr>
      </w:pPr>
    </w:p>
    <w:p w14:paraId="00000028" w14:textId="77777777" w:rsidR="00FB0F7E" w:rsidRDefault="00FB0F7E">
      <w:pPr>
        <w:spacing w:line="480" w:lineRule="auto"/>
        <w:rPr>
          <w:rFonts w:ascii="Times New Roman" w:eastAsia="Times New Roman" w:hAnsi="Times New Roman" w:cs="Times New Roman"/>
          <w:b/>
          <w:bCs/>
          <w:sz w:val="24"/>
          <w:szCs w:val="24"/>
        </w:rPr>
      </w:pPr>
    </w:p>
    <w:p w14:paraId="00000029" w14:textId="77777777" w:rsidR="00FB0F7E" w:rsidRDefault="00FB0F7E">
      <w:pPr>
        <w:spacing w:line="480" w:lineRule="auto"/>
        <w:rPr>
          <w:rFonts w:ascii="Times New Roman" w:eastAsia="Times New Roman" w:hAnsi="Times New Roman" w:cs="Times New Roman"/>
          <w:b/>
          <w:bCs/>
          <w:sz w:val="24"/>
          <w:szCs w:val="24"/>
        </w:rPr>
      </w:pPr>
    </w:p>
    <w:p w14:paraId="0000002A" w14:textId="77777777" w:rsidR="00FB0F7E" w:rsidRDefault="00FB0F7E">
      <w:pPr>
        <w:spacing w:line="480" w:lineRule="auto"/>
        <w:rPr>
          <w:rFonts w:ascii="Times New Roman" w:eastAsia="Times New Roman" w:hAnsi="Times New Roman" w:cs="Times New Roman"/>
          <w:b/>
          <w:bCs/>
          <w:sz w:val="24"/>
          <w:szCs w:val="24"/>
        </w:rPr>
      </w:pPr>
    </w:p>
    <w:p w14:paraId="0000002B" w14:textId="77777777" w:rsidR="00FB0F7E" w:rsidRDefault="00FB0F7E">
      <w:pPr>
        <w:spacing w:line="480" w:lineRule="auto"/>
        <w:rPr>
          <w:rFonts w:ascii="Times New Roman" w:eastAsia="Times New Roman" w:hAnsi="Times New Roman" w:cs="Times New Roman"/>
          <w:b/>
          <w:bCs/>
          <w:sz w:val="24"/>
          <w:szCs w:val="24"/>
        </w:rPr>
      </w:pPr>
    </w:p>
    <w:p w14:paraId="0000002C" w14:textId="77777777" w:rsidR="00FB0F7E" w:rsidRDefault="00945CC1">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Introduction</w:t>
      </w:r>
    </w:p>
    <w:p w14:paraId="0000002D"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Miami University Master of Medical Science (MMSc) in the Biomedical Science program has pushed me to challenge myself and grow as both a student and a dedicated member of my community. Having graduated with a Bachelor of Science in Biology from Miami University, I was already familiar with the rigorous programs, the campus environment, and the expectations of the professors. I not only enjoyed my time as an undergraduate but also felt that the academic foundation I built prepared me well for the transit</w:t>
      </w:r>
      <w:r>
        <w:rPr>
          <w:rFonts w:ascii="Times New Roman" w:eastAsia="Times New Roman" w:hAnsi="Times New Roman" w:cs="Times New Roman"/>
          <w:sz w:val="24"/>
          <w:szCs w:val="24"/>
        </w:rPr>
        <w:t>ion into graduate-level work. Returning for my Master’s was a distinct and intentional step, and I was confident that this specific program would serve as a necessary step toward my ultimate goal of becoming a physician. My objective was to further refine my scientific knowledge while gaining hands-on clinical experience through both shadowing and volunteering.</w:t>
      </w:r>
    </w:p>
    <w:p w14:paraId="0000002E"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Transitioning from a Bachelor of Science to a Master of Biomedical Science at the same institution offered a unique perspective. While my undergraduate years were spent learning the core principles of biological systems, the MMSc program required a much higher level of synthesis and application. Through this program, I was able to take additional elective courses in subjects of my choice, allowing me to explore the specific complexities of certain biomedical subjects that sparked my interest. More important</w:t>
      </w:r>
      <w:r>
        <w:rPr>
          <w:rFonts w:ascii="Times New Roman" w:eastAsia="Times New Roman" w:hAnsi="Times New Roman" w:cs="Times New Roman"/>
          <w:sz w:val="24"/>
          <w:szCs w:val="24"/>
        </w:rPr>
        <w:t>ly, it allowed me to experience the level of academic rigor and professional accountability expected of graduate students.</w:t>
      </w:r>
    </w:p>
    <w:p w14:paraId="0000002F"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defining moment of this academic journey was the summer term, where I was integrated into a fast-paced learning environment alongside Physician Associate (PA) students. This experience served as a realistic preview of the intensity of medical education. The curriculum required us to learn, retain, and apply large amounts of complex information in a short amount of time. This environment tested my resolve and my ability to perform under </w:t>
      </w:r>
      <w:r>
        <w:rPr>
          <w:rFonts w:ascii="Times New Roman" w:eastAsia="Times New Roman" w:hAnsi="Times New Roman" w:cs="Times New Roman"/>
          <w:sz w:val="24"/>
          <w:szCs w:val="24"/>
        </w:rPr>
        <w:lastRenderedPageBreak/>
        <w:t>pressure, as well as my ability to adapt to new information quickly. Seeing the dedication of my peers in the PA program reinforced my understanding of the collaborative nature of the modern healthcare team and the stakes involved in patient care.</w:t>
      </w:r>
    </w:p>
    <w:p w14:paraId="00000030"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academic preparation, combined with the extensive shadowing opportunities I gained through the program, has allowed me to comfortably take the next step in my career. I now move forward with a renewed confidence in my abilities and a deeper passion for the medical field. I have seen firsthand that being a physician is a career defined by a commitment to lifelong learning and a profound responsibility to one’s patients. By bridging the gap between classroom content and clinical reality, the MMSc program</w:t>
      </w:r>
      <w:r>
        <w:rPr>
          <w:rFonts w:ascii="Times New Roman" w:eastAsia="Times New Roman" w:hAnsi="Times New Roman" w:cs="Times New Roman"/>
          <w:sz w:val="24"/>
          <w:szCs w:val="24"/>
        </w:rPr>
        <w:t xml:space="preserve"> has provided me with a holistic view of the medical profession. From observations in the clinic to an interrogation of the current medical literature, I have been able to deeply reflect on my own roles within the medical system. </w:t>
      </w:r>
    </w:p>
    <w:p w14:paraId="00000031" w14:textId="77777777" w:rsidR="00FB0F7E" w:rsidRDefault="00FB0F7E">
      <w:pPr>
        <w:spacing w:line="480" w:lineRule="auto"/>
        <w:rPr>
          <w:rFonts w:ascii="Times New Roman" w:eastAsia="Times New Roman" w:hAnsi="Times New Roman" w:cs="Times New Roman"/>
          <w:b/>
          <w:bCs/>
          <w:color w:val="1F1F1F"/>
          <w:sz w:val="24"/>
          <w:szCs w:val="24"/>
        </w:rPr>
      </w:pPr>
    </w:p>
    <w:p w14:paraId="00000032" w14:textId="77777777" w:rsidR="00FB0F7E" w:rsidRDefault="00945CC1">
      <w:pPr>
        <w:spacing w:line="480" w:lineRule="auto"/>
        <w:rPr>
          <w:rFonts w:ascii="Times New Roman" w:eastAsia="Times New Roman" w:hAnsi="Times New Roman" w:cs="Times New Roman"/>
          <w:b/>
          <w:bCs/>
          <w:color w:val="1F1F1F"/>
          <w:sz w:val="24"/>
          <w:szCs w:val="24"/>
        </w:rPr>
      </w:pPr>
      <w:r>
        <w:rPr>
          <w:rFonts w:ascii="Times New Roman" w:eastAsia="Times New Roman" w:hAnsi="Times New Roman" w:cs="Times New Roman"/>
          <w:b/>
          <w:bCs/>
          <w:color w:val="1F1F1F"/>
          <w:sz w:val="24"/>
          <w:szCs w:val="24"/>
        </w:rPr>
        <w:t>From the Classroom to the Clinic</w:t>
      </w:r>
    </w:p>
    <w:p w14:paraId="00000033" w14:textId="77777777" w:rsidR="00FB0F7E" w:rsidRDefault="00945CC1">
      <w:pPr>
        <w:spacing w:line="48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One of the most impactful courses I’ve taken at Miami was Cancer Biology, where we examined cancer not just as a broad diagnosis but as a complex cellular disease. In the classroom, we moved beyond the basic concepts to look at the underlying molecular functions involved in malignancy. We spent a significant portion of the semester studying topics such as proto-oncogenes that promote unregulated growth and the critical role of tumor suppressor genes, such as p53, which are responsible for regulating apoptos</w:t>
      </w:r>
      <w:r>
        <w:rPr>
          <w:rFonts w:ascii="Times New Roman" w:eastAsia="Times New Roman" w:hAnsi="Times New Roman" w:cs="Times New Roman"/>
          <w:color w:val="1F1F1F"/>
          <w:sz w:val="24"/>
          <w:szCs w:val="24"/>
        </w:rPr>
        <w:t xml:space="preserve">is. We broke down the complex signaling pathways that allow malignant cells to proliferate, achieve immortality, and effectively avoid destruction by the host’s immune system. Furthermore, we explored the frontier of modern oncology, including targeted inhibitors, immunotherapy, chimeric antigen receptor T (CAR-T) </w:t>
      </w:r>
      <w:r>
        <w:rPr>
          <w:rFonts w:ascii="Times New Roman" w:eastAsia="Times New Roman" w:hAnsi="Times New Roman" w:cs="Times New Roman"/>
          <w:color w:val="1F1F1F"/>
          <w:sz w:val="24"/>
          <w:szCs w:val="24"/>
        </w:rPr>
        <w:lastRenderedPageBreak/>
        <w:t>therapy, and emerging cancer vaccines.</w:t>
      </w:r>
      <w:r>
        <w:rPr>
          <w:rFonts w:ascii="Times New Roman" w:eastAsia="Times New Roman" w:hAnsi="Times New Roman" w:cs="Times New Roman"/>
          <w:color w:val="1F1F1F"/>
          <w:sz w:val="30"/>
          <w:szCs w:val="30"/>
          <w:vertAlign w:val="superscript"/>
        </w:rPr>
        <w:t>1</w:t>
      </w:r>
      <w:r>
        <w:rPr>
          <w:rFonts w:ascii="Times New Roman" w:eastAsia="Times New Roman" w:hAnsi="Times New Roman" w:cs="Times New Roman"/>
          <w:color w:val="1F1F1F"/>
          <w:sz w:val="24"/>
          <w:szCs w:val="24"/>
        </w:rPr>
        <w:t xml:space="preserve"> This foundational course provided a high-level scientific vocabulary that shaped how I interpreted my clinical experiences while shadowing.</w:t>
      </w:r>
    </w:p>
    <w:p w14:paraId="00000034" w14:textId="77777777" w:rsidR="00FB0F7E" w:rsidRDefault="00945CC1">
      <w:pPr>
        <w:spacing w:line="48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This academic background became applicable while I was shadowing a dermatologist in a busy clinical setting. I observed the long-term care of a patient with melanoma who had been undergoing various treatments for several years. Melanoma is the most aggressive type of skin cancer and has high potential to spread throughout the body, resulting in poor patient prognosis. In the classroom, melanoma was often reduced to a discussion of specific mutations. However, seeing the patient’s resilience over years of tr</w:t>
      </w:r>
      <w:r>
        <w:rPr>
          <w:rFonts w:ascii="Times New Roman" w:eastAsia="Times New Roman" w:hAnsi="Times New Roman" w:cs="Times New Roman"/>
          <w:color w:val="1F1F1F"/>
          <w:sz w:val="24"/>
          <w:szCs w:val="24"/>
        </w:rPr>
        <w:t xml:space="preserve">eatment highlighted the real human impact behind the topics I had previously only discussed in a theoretical setting. This encounter prompted me to look deeper into the current state of melanoma research, specifically asking how tumor immunotherapy and melanoma vaccines compare to conventional treatments in improving patient survival. </w:t>
      </w:r>
    </w:p>
    <w:p w14:paraId="00000035" w14:textId="77777777" w:rsidR="00FB0F7E" w:rsidRDefault="00945CC1">
      <w:pPr>
        <w:pBdr>
          <w:top w:val="nil"/>
          <w:left w:val="nil"/>
          <w:bottom w:val="nil"/>
          <w:right w:val="nil"/>
          <w:between w:val="nil"/>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To answer this, I analyzed a review paper by Gao et al. (2026), titled "Melanoma vaccines: current R&amp;D landscape, translational hurdles, and future outlook—a perspective drawn from 442 clinical trials."</w:t>
      </w:r>
      <w:r>
        <w:rPr>
          <w:rFonts w:ascii="Times New Roman" w:eastAsia="Times New Roman" w:hAnsi="Times New Roman" w:cs="Times New Roman"/>
          <w:color w:val="1F1F1F"/>
          <w:sz w:val="30"/>
          <w:szCs w:val="30"/>
          <w:vertAlign w:val="superscript"/>
        </w:rPr>
        <w:t>2</w:t>
      </w:r>
      <w:r>
        <w:rPr>
          <w:rFonts w:ascii="Times New Roman" w:eastAsia="Times New Roman" w:hAnsi="Times New Roman" w:cs="Times New Roman"/>
          <w:color w:val="1F1F1F"/>
          <w:sz w:val="24"/>
          <w:szCs w:val="24"/>
        </w:rPr>
        <w:t xml:space="preserve"> The goal of the review was to systematically analyze the global clinical trial landscape to reveal the current potential of melanoma vaccines. Utilizing the Trialtrove database to evaluate 442 interventional trials up to August 2025, the researchers aimed to provide a data-driven strategy for optimizing vaccine design. Historically, melanoma treatment relied on surgery and chemotherapy with poor survival rates for advanced stages, with 5-year survival rates as low as 6%. While modern immune checkpoint inh</w:t>
      </w:r>
      <w:r>
        <w:rPr>
          <w:rFonts w:ascii="Times New Roman" w:eastAsia="Times New Roman" w:hAnsi="Times New Roman" w:cs="Times New Roman"/>
          <w:color w:val="1F1F1F"/>
          <w:sz w:val="24"/>
          <w:szCs w:val="24"/>
        </w:rPr>
        <w:t xml:space="preserve">ibitors (ICIs) have improved outcomes, objective response rates remain low. Novel therapeutic strategies are needed, and cancer vaccines are one potential immunotherapy designed to use the body’s own immune system to identify and destroy cancer cells. They achieve this by introducing tumor </w:t>
      </w:r>
      <w:r>
        <w:rPr>
          <w:rFonts w:ascii="Times New Roman" w:eastAsia="Times New Roman" w:hAnsi="Times New Roman" w:cs="Times New Roman"/>
          <w:color w:val="1F1F1F"/>
          <w:sz w:val="24"/>
          <w:szCs w:val="24"/>
        </w:rPr>
        <w:lastRenderedPageBreak/>
        <w:t>specific antigens into the body. Using specialized delivery systems, these vaccines activate dendritic cells. Once activated, these cells trigger a targeted attack on the tumor cells by cytotoxic T lymphocytes, ideally tr</w:t>
      </w:r>
      <w:r>
        <w:rPr>
          <w:rFonts w:ascii="Times New Roman" w:eastAsia="Times New Roman" w:hAnsi="Times New Roman" w:cs="Times New Roman"/>
          <w:color w:val="1F1F1F"/>
          <w:sz w:val="24"/>
          <w:szCs w:val="24"/>
        </w:rPr>
        <w:t>aining the body for long-term protection. The paper highlights the shift toward combination therapies, representing over 50% of trials, and the rise of mRNA vaccines as an emerging method. Specifically, the study highlights the efficacy of the mRNA-4157 vaccine combined with the monoclonal antibody pembrolizumab, which reduced the risk of recurrence or death by 49% in melanoma patients. Another notable method involved the herpes simplex virus RP1 in combination with another monoclonal antibody nivolumab, wh</w:t>
      </w:r>
      <w:r>
        <w:rPr>
          <w:rFonts w:ascii="Times New Roman" w:eastAsia="Times New Roman" w:hAnsi="Times New Roman" w:cs="Times New Roman"/>
          <w:color w:val="1F1F1F"/>
          <w:sz w:val="24"/>
          <w:szCs w:val="24"/>
        </w:rPr>
        <w:t>ich achieved a 58.3% objective response rate in patients previously resistant to ICIs. The study followed PRISMA guidelines with independent dual review to ensure reliability across the 442 trials analyzed. The study’s strengths lie in its considerably large data set and use of a reliable database. However, the authors note that Trialtrove was the only database used, which could limit the data available to be analyzed. Additionally, with 69% of trials concentrated in the US, this could overlook many studies</w:t>
      </w:r>
      <w:r>
        <w:rPr>
          <w:rFonts w:ascii="Times New Roman" w:eastAsia="Times New Roman" w:hAnsi="Times New Roman" w:cs="Times New Roman"/>
          <w:color w:val="1F1F1F"/>
          <w:sz w:val="24"/>
          <w:szCs w:val="24"/>
        </w:rPr>
        <w:t xml:space="preserve"> outside of Western countries, largely ignoring the melanoma subtypes prevalent in Asia and Africa. The authors conclude that while melanoma vaccines show immense potential, the goal of widespread clinical success is hindered by tumor heterogeneity and inefficient delivery systems. The results supported the hypothesis that vaccines can significantly enhance the efficacy of ICIs, but they also highlighted a failure in the current research and development (R&amp;D) landscape to convert early-stage success into tr</w:t>
      </w:r>
      <w:r>
        <w:rPr>
          <w:rFonts w:ascii="Times New Roman" w:eastAsia="Times New Roman" w:hAnsi="Times New Roman" w:cs="Times New Roman"/>
          <w:color w:val="1F1F1F"/>
          <w:sz w:val="24"/>
          <w:szCs w:val="24"/>
        </w:rPr>
        <w:t xml:space="preserve">ials that actually reach Phase III. To address these issues, the researchers propose future directions that include international multicenter trials to include diverse patient populations and the enrollment of earlier-stage (Stage II) patients to catch the disease before the tumor microenvironment becomes fully established. </w:t>
      </w:r>
    </w:p>
    <w:p w14:paraId="00000036" w14:textId="77777777" w:rsidR="00FB0F7E" w:rsidRDefault="00945CC1">
      <w:pPr>
        <w:spacing w:line="48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The integration of my coursework was not limited to specialized oncology but was equally applicable in a primary care setting. While shadowing a family physician, I observed a consultation with a male patient regarding colorectal and prostate cancer screenings. The discussion centered on preventative medicine, emphasizing age-related risk factors and the importance of early detection. From this experience, I questioned, how does noninvasive testing compare to colonoscopy in reducing colorectal cancer mortal</w:t>
      </w:r>
      <w:r>
        <w:rPr>
          <w:rFonts w:ascii="Times New Roman" w:eastAsia="Times New Roman" w:hAnsi="Times New Roman" w:cs="Times New Roman"/>
          <w:color w:val="1F1F1F"/>
          <w:sz w:val="24"/>
          <w:szCs w:val="24"/>
        </w:rPr>
        <w:t xml:space="preserve">ity? I was particularly interested in the patient’s perspective on invasive versus non-invasive procedures, as many patients express hesitancy toward the standard colonoscopy. One </w:t>
      </w:r>
      <w:r>
        <w:rPr>
          <w:rFonts w:ascii="Times New Roman" w:eastAsia="Times New Roman" w:hAnsi="Times New Roman" w:cs="Times New Roman"/>
          <w:sz w:val="24"/>
          <w:szCs w:val="24"/>
        </w:rPr>
        <w:t>phase 3 trial of multitarget stool RNA testing found 94% sensitivity for detecting colorectal cancer, improved detection of advanced adenomas, and strong accuracy for identifying significant lesions.</w:t>
      </w:r>
      <w:r>
        <w:rPr>
          <w:rFonts w:ascii="Times New Roman" w:eastAsia="Times New Roman" w:hAnsi="Times New Roman" w:cs="Times New Roman"/>
          <w:sz w:val="30"/>
          <w:szCs w:val="30"/>
          <w:vertAlign w:val="superscript"/>
        </w:rPr>
        <w:t>3</w:t>
      </w:r>
      <w:r>
        <w:rPr>
          <w:rFonts w:ascii="Times New Roman" w:eastAsia="Times New Roman" w:hAnsi="Times New Roman" w:cs="Times New Roman"/>
          <w:sz w:val="24"/>
          <w:szCs w:val="24"/>
        </w:rPr>
        <w:t xml:space="preserve"> These findings suggest that highly sensitive noninvasive tests could be alternative methods to colonoscopies, especially for patien</w:t>
      </w:r>
      <w:r>
        <w:rPr>
          <w:rFonts w:ascii="Times New Roman" w:eastAsia="Times New Roman" w:hAnsi="Times New Roman" w:cs="Times New Roman"/>
          <w:sz w:val="24"/>
          <w:szCs w:val="24"/>
        </w:rPr>
        <w:t xml:space="preserve">ts that may be hesitant about the procedure. </w:t>
      </w:r>
    </w:p>
    <w:p w14:paraId="00000037" w14:textId="77777777" w:rsidR="00FB0F7E" w:rsidRDefault="00945CC1">
      <w:pPr>
        <w:spacing w:line="48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Overall, the content I learned in my coursework at Miami has been directly and consistently applicable to my clinical experiences. I look forward to further integrating this academic knowledge into my future practice, ensuring that my clinical decisions are always rooted in the most current and reliable scientific evidence.</w:t>
      </w:r>
    </w:p>
    <w:p w14:paraId="00000038" w14:textId="77777777" w:rsidR="00FB0F7E" w:rsidRDefault="00FB0F7E">
      <w:pPr>
        <w:spacing w:line="480" w:lineRule="auto"/>
        <w:rPr>
          <w:rFonts w:ascii="Times New Roman" w:eastAsia="Times New Roman" w:hAnsi="Times New Roman" w:cs="Times New Roman"/>
          <w:b/>
          <w:bCs/>
          <w:sz w:val="24"/>
          <w:szCs w:val="24"/>
        </w:rPr>
      </w:pPr>
    </w:p>
    <w:p w14:paraId="00000039" w14:textId="77777777" w:rsidR="00FB0F7E" w:rsidRDefault="00945CC1">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Interrogating the Literature</w:t>
      </w:r>
    </w:p>
    <w:p w14:paraId="0000003A" w14:textId="77777777" w:rsidR="00FB0F7E" w:rsidRDefault="00945CC1">
      <w:pPr>
        <w:spacing w:line="48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One of the most valuable skills I refined during the MMSc program was the ability to systematically interrogate medical literature to find evidence-based answers to complex clinical questions. I learned how to formulate PICO questions by identifying the patient Population, Intervention, Comparison, and Outcome. This process became personal for me from my experiences shadowing as well as my own experience of losing my uncle to glioblastoma brain </w:t>
      </w:r>
      <w:r>
        <w:rPr>
          <w:rFonts w:ascii="Times New Roman" w:eastAsia="Times New Roman" w:hAnsi="Times New Roman" w:cs="Times New Roman"/>
          <w:color w:val="1F1F1F"/>
          <w:sz w:val="24"/>
          <w:szCs w:val="24"/>
        </w:rPr>
        <w:lastRenderedPageBreak/>
        <w:t xml:space="preserve">cancer. Glioblastoma is notoriously difficult to treat due to the blood-brain barrier and the aggressive nature of the tumors. Witnessing the limitations of current care firsthand led me to wonder if the immunotherapy advances seen in other cancers could be effective in the treatment of malignancies of the brain. I formulated the following PICO question to guide my research: “In adults with newly diagnosed glioblastoma, does adding immune checkpoint inhibitors to standard chemoradiation therapy compared to </w:t>
      </w:r>
      <w:r>
        <w:rPr>
          <w:rFonts w:ascii="Times New Roman" w:eastAsia="Times New Roman" w:hAnsi="Times New Roman" w:cs="Times New Roman"/>
          <w:color w:val="1F1F1F"/>
          <w:sz w:val="24"/>
          <w:szCs w:val="24"/>
        </w:rPr>
        <w:t xml:space="preserve">chemoradiation alone improve progression-free survival?” To answer this, I filtered PubMed for relevant articles published within the last ten years, specifically looking for randomized controlled trials that would address this topic. </w:t>
      </w:r>
    </w:p>
    <w:p w14:paraId="0000003B" w14:textId="77777777" w:rsidR="00FB0F7E" w:rsidRDefault="00945CC1">
      <w:pPr>
        <w:spacing w:line="48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The first study I selected was a randomized Phase II trial that investigated whether adding the immune checkpoint inhibitor ipilimumab to the standard temozolomide (TMZ) treatment improved survival.</w:t>
      </w:r>
      <w:r>
        <w:rPr>
          <w:rFonts w:ascii="Times New Roman" w:eastAsia="Times New Roman" w:hAnsi="Times New Roman" w:cs="Times New Roman"/>
          <w:color w:val="1F1F1F"/>
          <w:sz w:val="30"/>
          <w:szCs w:val="30"/>
          <w:vertAlign w:val="superscript"/>
        </w:rPr>
        <w:t xml:space="preserve">4 </w:t>
      </w:r>
      <w:r>
        <w:rPr>
          <w:rFonts w:ascii="Times New Roman" w:eastAsia="Times New Roman" w:hAnsi="Times New Roman" w:cs="Times New Roman"/>
          <w:sz w:val="24"/>
          <w:szCs w:val="24"/>
        </w:rPr>
        <w:t>With 119 patients enrolled, 79 were given ipilimumab + TMZ and 40 were treated with TMZ alone. They observed that the combination therapy had a median progression free survival period of 10.8 months and the TMZ treatment alone had a median progression free survival period of 12.5 months. Therefore, they concluded that adding ipilimumab to temozolomide did not improve progression-free survival. Limitations could have included a smaller sample size characteristic of phase II testing. They also noted there w</w:t>
      </w:r>
      <w:r>
        <w:rPr>
          <w:rFonts w:ascii="Times New Roman" w:eastAsia="Times New Roman" w:hAnsi="Times New Roman" w:cs="Times New Roman"/>
          <w:sz w:val="24"/>
          <w:szCs w:val="24"/>
        </w:rPr>
        <w:t>as a difference in age between groups, with the TMZ-only group being younger.</w:t>
      </w:r>
      <w:r>
        <w:rPr>
          <w:rFonts w:ascii="Times New Roman" w:eastAsia="Times New Roman" w:hAnsi="Times New Roman" w:cs="Times New Roman"/>
          <w:color w:val="1F1F1F"/>
          <w:sz w:val="24"/>
          <w:szCs w:val="24"/>
        </w:rPr>
        <w:t xml:space="preserve"> This study provided a clear framework for my PICO analysis:</w:t>
      </w:r>
    </w:p>
    <w:p w14:paraId="0000003C" w14:textId="77777777" w:rsidR="00FB0F7E" w:rsidRDefault="00945CC1">
      <w:pPr>
        <w:numPr>
          <w:ilvl w:val="0"/>
          <w:numId w:val="2"/>
        </w:numPr>
        <w:spacing w:line="480" w:lineRule="auto"/>
        <w:rPr>
          <w:color w:val="1F1F1F"/>
          <w:sz w:val="24"/>
          <w:szCs w:val="24"/>
        </w:rPr>
      </w:pPr>
      <w:r>
        <w:rPr>
          <w:rFonts w:ascii="Times New Roman" w:eastAsia="Times New Roman" w:hAnsi="Times New Roman" w:cs="Times New Roman"/>
          <w:b/>
          <w:bCs/>
          <w:color w:val="1F1F1F"/>
          <w:sz w:val="24"/>
          <w:szCs w:val="24"/>
        </w:rPr>
        <w:t>P (Patient):</w:t>
      </w:r>
      <w:r>
        <w:rPr>
          <w:rFonts w:ascii="Times New Roman" w:eastAsia="Times New Roman" w:hAnsi="Times New Roman" w:cs="Times New Roman"/>
          <w:color w:val="1F1F1F"/>
          <w:sz w:val="24"/>
          <w:szCs w:val="24"/>
        </w:rPr>
        <w:t xml:space="preserve"> Adults with recently diagnosed glioblastoma.</w:t>
      </w:r>
    </w:p>
    <w:p w14:paraId="0000003D" w14:textId="77777777" w:rsidR="00FB0F7E" w:rsidRDefault="00945CC1">
      <w:pPr>
        <w:numPr>
          <w:ilvl w:val="0"/>
          <w:numId w:val="2"/>
        </w:numPr>
        <w:spacing w:line="480" w:lineRule="auto"/>
        <w:rPr>
          <w:color w:val="1F1F1F"/>
          <w:sz w:val="24"/>
          <w:szCs w:val="24"/>
        </w:rPr>
      </w:pPr>
      <w:r>
        <w:rPr>
          <w:rFonts w:ascii="Times New Roman" w:eastAsia="Times New Roman" w:hAnsi="Times New Roman" w:cs="Times New Roman"/>
          <w:b/>
          <w:bCs/>
          <w:color w:val="1F1F1F"/>
          <w:sz w:val="24"/>
          <w:szCs w:val="24"/>
        </w:rPr>
        <w:t>I (Intervention):</w:t>
      </w:r>
      <w:r>
        <w:rPr>
          <w:rFonts w:ascii="Times New Roman" w:eastAsia="Times New Roman" w:hAnsi="Times New Roman" w:cs="Times New Roman"/>
          <w:color w:val="1F1F1F"/>
          <w:sz w:val="24"/>
          <w:szCs w:val="24"/>
        </w:rPr>
        <w:t xml:space="preserve"> Ipilimumab combined with TMZ.</w:t>
      </w:r>
    </w:p>
    <w:p w14:paraId="0000003E" w14:textId="77777777" w:rsidR="00FB0F7E" w:rsidRDefault="00945CC1">
      <w:pPr>
        <w:numPr>
          <w:ilvl w:val="0"/>
          <w:numId w:val="2"/>
        </w:numPr>
        <w:spacing w:line="480" w:lineRule="auto"/>
        <w:rPr>
          <w:color w:val="1F1F1F"/>
          <w:sz w:val="24"/>
          <w:szCs w:val="24"/>
        </w:rPr>
      </w:pPr>
      <w:r>
        <w:rPr>
          <w:rFonts w:ascii="Times New Roman" w:eastAsia="Times New Roman" w:hAnsi="Times New Roman" w:cs="Times New Roman"/>
          <w:b/>
          <w:bCs/>
          <w:color w:val="1F1F1F"/>
          <w:sz w:val="24"/>
          <w:szCs w:val="24"/>
        </w:rPr>
        <w:t>C (Comparison):</w:t>
      </w:r>
      <w:r>
        <w:rPr>
          <w:rFonts w:ascii="Times New Roman" w:eastAsia="Times New Roman" w:hAnsi="Times New Roman" w:cs="Times New Roman"/>
          <w:color w:val="1F1F1F"/>
          <w:sz w:val="24"/>
          <w:szCs w:val="24"/>
        </w:rPr>
        <w:t xml:space="preserve"> TMZ monotherapy.</w:t>
      </w:r>
    </w:p>
    <w:p w14:paraId="0000003F" w14:textId="77777777" w:rsidR="00FB0F7E" w:rsidRDefault="00945CC1">
      <w:pPr>
        <w:numPr>
          <w:ilvl w:val="0"/>
          <w:numId w:val="2"/>
        </w:numPr>
        <w:spacing w:line="480" w:lineRule="auto"/>
        <w:rPr>
          <w:color w:val="1F1F1F"/>
          <w:sz w:val="24"/>
          <w:szCs w:val="24"/>
        </w:rPr>
      </w:pPr>
      <w:r>
        <w:rPr>
          <w:rFonts w:ascii="Times New Roman" w:eastAsia="Times New Roman" w:hAnsi="Times New Roman" w:cs="Times New Roman"/>
          <w:b/>
          <w:bCs/>
          <w:color w:val="1F1F1F"/>
          <w:sz w:val="24"/>
          <w:szCs w:val="24"/>
        </w:rPr>
        <w:t>O (Outcome):</w:t>
      </w:r>
      <w:r>
        <w:rPr>
          <w:rFonts w:ascii="Times New Roman" w:eastAsia="Times New Roman" w:hAnsi="Times New Roman" w:cs="Times New Roman"/>
          <w:color w:val="1F1F1F"/>
          <w:sz w:val="24"/>
          <w:szCs w:val="24"/>
        </w:rPr>
        <w:t xml:space="preserve"> Overall and progression-free survival.</w:t>
      </w:r>
    </w:p>
    <w:p w14:paraId="00000040" w14:textId="77777777" w:rsidR="00FB0F7E" w:rsidRDefault="00945CC1">
      <w:pPr>
        <w:spacing w:line="48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lastRenderedPageBreak/>
        <w:t>While the Phase II trial offered a preliminary look at the data, I knew I needed to look at a larger patient population to see if the results held true on a broader scale. The second study I interrogated was a Phase III randomized controlled trial that evaluated whether adding a different immune checkpoint inhibitor, nivolumab, to standard radiotherapy and temozolomide improved overall survival.</w:t>
      </w:r>
      <w:r>
        <w:rPr>
          <w:rFonts w:ascii="Times New Roman" w:eastAsia="Times New Roman" w:hAnsi="Times New Roman" w:cs="Times New Roman"/>
          <w:color w:val="1F1F1F"/>
          <w:sz w:val="30"/>
          <w:szCs w:val="30"/>
          <w:vertAlign w:val="superscript"/>
        </w:rPr>
        <w:t>5</w:t>
      </w:r>
      <w:r>
        <w:rPr>
          <w:rFonts w:ascii="Times New Roman" w:eastAsia="Times New Roman" w:hAnsi="Times New Roman" w:cs="Times New Roman"/>
          <w:color w:val="1F1F1F"/>
          <w:sz w:val="24"/>
          <w:szCs w:val="24"/>
        </w:rPr>
        <w:t xml:space="preserve"> This study was significantly larger, including 716 patients who were randomly assigned to receive either the nivolumab combination or a placebo. Median progression free survival period of the combination therapy was 10.6 months while the placebo had a period of 10.3 months. Additionally, median overall survival for the intervention was 28.9 months while the median survival of the placebo group was 32.1 months. </w:t>
      </w:r>
      <w:r>
        <w:rPr>
          <w:rFonts w:ascii="Times New Roman" w:eastAsia="Times New Roman" w:hAnsi="Times New Roman" w:cs="Times New Roman"/>
          <w:sz w:val="24"/>
          <w:szCs w:val="24"/>
        </w:rPr>
        <w:t>Their study concluded that nivolumab did not improve progression free survival compared to stand</w:t>
      </w:r>
      <w:r>
        <w:rPr>
          <w:rFonts w:ascii="Times New Roman" w:eastAsia="Times New Roman" w:hAnsi="Times New Roman" w:cs="Times New Roman"/>
          <w:sz w:val="24"/>
          <w:szCs w:val="24"/>
        </w:rPr>
        <w:t xml:space="preserve">ard treatment. Limitations included the lack of predictive biomarkers in the study and that the research did not account for differences in tumor microenvironments which could have affected immunotherapy effectiveness. </w:t>
      </w:r>
    </w:p>
    <w:p w14:paraId="00000041" w14:textId="77777777" w:rsidR="00FB0F7E" w:rsidRDefault="00945CC1">
      <w:pPr>
        <w:numPr>
          <w:ilvl w:val="0"/>
          <w:numId w:val="3"/>
        </w:numPr>
        <w:spacing w:line="480" w:lineRule="auto"/>
        <w:rPr>
          <w:color w:val="1F1F1F"/>
          <w:sz w:val="24"/>
          <w:szCs w:val="24"/>
        </w:rPr>
      </w:pPr>
      <w:r>
        <w:rPr>
          <w:rFonts w:ascii="Times New Roman" w:eastAsia="Times New Roman" w:hAnsi="Times New Roman" w:cs="Times New Roman"/>
          <w:b/>
          <w:bCs/>
          <w:color w:val="1F1F1F"/>
          <w:sz w:val="24"/>
          <w:szCs w:val="24"/>
        </w:rPr>
        <w:t>P (Patient):</w:t>
      </w:r>
      <w:r>
        <w:rPr>
          <w:rFonts w:ascii="Times New Roman" w:eastAsia="Times New Roman" w:hAnsi="Times New Roman" w:cs="Times New Roman"/>
          <w:color w:val="1F1F1F"/>
          <w:sz w:val="24"/>
          <w:szCs w:val="24"/>
        </w:rPr>
        <w:t xml:space="preserve"> Adults with newly diagnosed glioblastoma.</w:t>
      </w:r>
    </w:p>
    <w:p w14:paraId="00000042" w14:textId="77777777" w:rsidR="00FB0F7E" w:rsidRDefault="00945CC1">
      <w:pPr>
        <w:numPr>
          <w:ilvl w:val="0"/>
          <w:numId w:val="3"/>
        </w:numPr>
        <w:spacing w:line="480" w:lineRule="auto"/>
        <w:rPr>
          <w:color w:val="1F1F1F"/>
          <w:sz w:val="24"/>
          <w:szCs w:val="24"/>
        </w:rPr>
      </w:pPr>
      <w:r>
        <w:rPr>
          <w:rFonts w:ascii="Times New Roman" w:eastAsia="Times New Roman" w:hAnsi="Times New Roman" w:cs="Times New Roman"/>
          <w:b/>
          <w:bCs/>
          <w:color w:val="1F1F1F"/>
          <w:sz w:val="24"/>
          <w:szCs w:val="24"/>
        </w:rPr>
        <w:t>I (Intervention):</w:t>
      </w:r>
      <w:r>
        <w:rPr>
          <w:rFonts w:ascii="Times New Roman" w:eastAsia="Times New Roman" w:hAnsi="Times New Roman" w:cs="Times New Roman"/>
          <w:color w:val="1F1F1F"/>
          <w:sz w:val="24"/>
          <w:szCs w:val="24"/>
        </w:rPr>
        <w:t xml:space="preserve"> Nivolumab + RT + TMZ.</w:t>
      </w:r>
    </w:p>
    <w:p w14:paraId="00000043" w14:textId="77777777" w:rsidR="00FB0F7E" w:rsidRDefault="00945CC1">
      <w:pPr>
        <w:numPr>
          <w:ilvl w:val="0"/>
          <w:numId w:val="3"/>
        </w:numPr>
        <w:spacing w:line="480" w:lineRule="auto"/>
        <w:rPr>
          <w:color w:val="1F1F1F"/>
          <w:sz w:val="24"/>
          <w:szCs w:val="24"/>
        </w:rPr>
      </w:pPr>
      <w:r>
        <w:rPr>
          <w:rFonts w:ascii="Times New Roman" w:eastAsia="Times New Roman" w:hAnsi="Times New Roman" w:cs="Times New Roman"/>
          <w:b/>
          <w:bCs/>
          <w:color w:val="1F1F1F"/>
          <w:sz w:val="24"/>
          <w:szCs w:val="24"/>
        </w:rPr>
        <w:t>C (Comparison):</w:t>
      </w:r>
      <w:r>
        <w:rPr>
          <w:rFonts w:ascii="Times New Roman" w:eastAsia="Times New Roman" w:hAnsi="Times New Roman" w:cs="Times New Roman"/>
          <w:color w:val="1F1F1F"/>
          <w:sz w:val="24"/>
          <w:szCs w:val="24"/>
        </w:rPr>
        <w:t xml:space="preserve"> Placebo + RT + TMZ.</w:t>
      </w:r>
    </w:p>
    <w:p w14:paraId="00000044" w14:textId="77777777" w:rsidR="00FB0F7E" w:rsidRDefault="00945CC1">
      <w:pPr>
        <w:numPr>
          <w:ilvl w:val="0"/>
          <w:numId w:val="3"/>
        </w:numPr>
        <w:spacing w:line="480" w:lineRule="auto"/>
        <w:rPr>
          <w:color w:val="1F1F1F"/>
          <w:sz w:val="24"/>
          <w:szCs w:val="24"/>
        </w:rPr>
      </w:pPr>
      <w:r>
        <w:rPr>
          <w:rFonts w:ascii="Times New Roman" w:eastAsia="Times New Roman" w:hAnsi="Times New Roman" w:cs="Times New Roman"/>
          <w:b/>
          <w:bCs/>
          <w:color w:val="1F1F1F"/>
          <w:sz w:val="24"/>
          <w:szCs w:val="24"/>
        </w:rPr>
        <w:t>O (Outcome):</w:t>
      </w:r>
      <w:r>
        <w:rPr>
          <w:rFonts w:ascii="Times New Roman" w:eastAsia="Times New Roman" w:hAnsi="Times New Roman" w:cs="Times New Roman"/>
          <w:color w:val="1F1F1F"/>
          <w:sz w:val="24"/>
          <w:szCs w:val="24"/>
        </w:rPr>
        <w:t xml:space="preserve"> Overall survival.</w:t>
      </w:r>
    </w:p>
    <w:p w14:paraId="00000045" w14:textId="77777777" w:rsidR="00FB0F7E" w:rsidRDefault="00945CC1">
      <w:pPr>
        <w:spacing w:line="48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Interrogating these two studies provided a discouraging but necessary perspective on the current state of neuro-oncology. Despite the success of these drugs in other cancers, the unique biology of the brain presents challenges that we have yet to overcome. This academic exercise reinforced the idea that being a physician requires a level of skepticism of new treatments until they are proven effective in the specific population being treated. The limitations noted in these studies, such as the lack of biomar</w:t>
      </w:r>
      <w:r>
        <w:rPr>
          <w:rFonts w:ascii="Times New Roman" w:eastAsia="Times New Roman" w:hAnsi="Times New Roman" w:cs="Times New Roman"/>
          <w:color w:val="1F1F1F"/>
          <w:sz w:val="24"/>
          <w:szCs w:val="24"/>
        </w:rPr>
        <w:t xml:space="preserve">kers and the complexity of the tumor microenvironment, </w:t>
      </w:r>
      <w:r>
        <w:rPr>
          <w:rFonts w:ascii="Times New Roman" w:eastAsia="Times New Roman" w:hAnsi="Times New Roman" w:cs="Times New Roman"/>
          <w:color w:val="1F1F1F"/>
          <w:sz w:val="24"/>
          <w:szCs w:val="24"/>
        </w:rPr>
        <w:lastRenderedPageBreak/>
        <w:t>suggest that the future of glioblastoma treatment may lie in more personalized, targeted approaches rather than broad immunotherapy.</w:t>
      </w:r>
    </w:p>
    <w:p w14:paraId="00000046" w14:textId="77777777" w:rsidR="00FB0F7E" w:rsidRDefault="00FB0F7E">
      <w:pPr>
        <w:spacing w:line="480" w:lineRule="auto"/>
        <w:rPr>
          <w:rFonts w:ascii="Times New Roman" w:eastAsia="Times New Roman" w:hAnsi="Times New Roman" w:cs="Times New Roman"/>
          <w:b/>
          <w:bCs/>
          <w:color w:val="1F1F1F"/>
          <w:sz w:val="24"/>
          <w:szCs w:val="24"/>
        </w:rPr>
      </w:pPr>
    </w:p>
    <w:p w14:paraId="00000047" w14:textId="77777777" w:rsidR="00FB0F7E" w:rsidRDefault="00945CC1">
      <w:pPr>
        <w:spacing w:line="480" w:lineRule="auto"/>
        <w:rPr>
          <w:rFonts w:ascii="Times New Roman" w:eastAsia="Times New Roman" w:hAnsi="Times New Roman" w:cs="Times New Roman"/>
          <w:b/>
          <w:bCs/>
          <w:color w:val="1F1F1F"/>
          <w:sz w:val="24"/>
          <w:szCs w:val="24"/>
        </w:rPr>
      </w:pPr>
      <w:r>
        <w:rPr>
          <w:rFonts w:ascii="Times New Roman" w:eastAsia="Times New Roman" w:hAnsi="Times New Roman" w:cs="Times New Roman"/>
          <w:b/>
          <w:bCs/>
          <w:color w:val="1F1F1F"/>
          <w:sz w:val="24"/>
          <w:szCs w:val="24"/>
        </w:rPr>
        <w:t>Reflection on Communication in Healthcare</w:t>
      </w:r>
    </w:p>
    <w:p w14:paraId="00000048"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major aspect of being a healthcare provider includes communicating properly with others. In a clinical setting, patients in vulnerable positions place their full trust in the physician and care team. In order to maintain this trust, it is crucial for providers to maintain professionalism and dedicate themselves to a high standard of care. Patients want their doctors to not only be competent and intelligent but also empathetic and easy to talk to. If the doctor rushes the appointment or dismisses their wor</w:t>
      </w:r>
      <w:r>
        <w:rPr>
          <w:rFonts w:ascii="Times New Roman" w:eastAsia="Times New Roman" w:hAnsi="Times New Roman" w:cs="Times New Roman"/>
          <w:sz w:val="24"/>
          <w:szCs w:val="24"/>
        </w:rPr>
        <w:t>ries, patients might feel as if their problems are not being heard and may not take the physician’s advice, putting their health at risk. Physicians must strive to maintain a strong relationship that keeps the patient informed and involved in the decision-making process. By developing these interpersonal skills, the patient will be more likely to listen to and follow the physician’s suggestions or be more willing to freely offer information. This approach encourages adherence to treatment as well as a highe</w:t>
      </w:r>
      <w:r>
        <w:rPr>
          <w:rFonts w:ascii="Times New Roman" w:eastAsia="Times New Roman" w:hAnsi="Times New Roman" w:cs="Times New Roman"/>
          <w:sz w:val="24"/>
          <w:szCs w:val="24"/>
        </w:rPr>
        <w:t xml:space="preserve">r level of patient satisfaction. </w:t>
      </w:r>
    </w:p>
    <w:p w14:paraId="00000049"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provider–patient interaction that I felt went well occurred while I was shadowing a primary care physician who was seeing a patient for an ear infection that developed after swimming. The patient was experiencing recurring pain in his left ear that interfered with his ability to hear clearly and sleep throughout the night. The physician demonstrated several aspects of the motivational interviewing method, beginning by engaging with the patient. They acknowledged how uncomfortable the condition must be a</w:t>
      </w:r>
      <w:r>
        <w:rPr>
          <w:rFonts w:ascii="Times New Roman" w:eastAsia="Times New Roman" w:hAnsi="Times New Roman" w:cs="Times New Roman"/>
          <w:sz w:val="24"/>
          <w:szCs w:val="24"/>
        </w:rPr>
        <w:t xml:space="preserve">nd asked further questions about when and where the pain occurred. The physician asked open-ended questions that allowed the patient </w:t>
      </w:r>
      <w:r>
        <w:rPr>
          <w:rFonts w:ascii="Times New Roman" w:eastAsia="Times New Roman" w:hAnsi="Times New Roman" w:cs="Times New Roman"/>
          <w:sz w:val="24"/>
          <w:szCs w:val="24"/>
        </w:rPr>
        <w:lastRenderedPageBreak/>
        <w:t>to fully explain his symptoms and followed up with clarifying questions while taking notes. This behavior demonstrated active listening and genuine engagement with the patient’s concerns.</w:t>
      </w:r>
    </w:p>
    <w:p w14:paraId="0000004A"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focusing on the main issues the patient described, the physician performed an ear examination by gently pulling the ear to check for pain and looking into the ear canal for signs of infection. The physician observed redness and inflammation and then communicated their recommendations. They prescribed an ear drop medication that should be used every day for one week and collaborated with the patient to determine the best course of treatment. The physician also offered alternative medications that could</w:t>
      </w:r>
      <w:r>
        <w:rPr>
          <w:rFonts w:ascii="Times New Roman" w:eastAsia="Times New Roman" w:hAnsi="Times New Roman" w:cs="Times New Roman"/>
          <w:sz w:val="24"/>
          <w:szCs w:val="24"/>
        </w:rPr>
        <w:t xml:space="preserve"> be ordered if the patient’s health insurance did not cover the initial prescription. This showed that the physician was actively considering possible barriers that might prevent the patient from following through with the treatment plan. By addressing these potential obstacles, they ensured that the patient had the information needed to make the best decision for their health and lifestyle. When the patient asked follow-up questions, such as when he would be able to swim again, they explained that he shoul</w:t>
      </w:r>
      <w:r>
        <w:rPr>
          <w:rFonts w:ascii="Times New Roman" w:eastAsia="Times New Roman" w:hAnsi="Times New Roman" w:cs="Times New Roman"/>
          <w:sz w:val="24"/>
          <w:szCs w:val="24"/>
        </w:rPr>
        <w:t>d be able to continue normal daily activities as long as he wore ear plugs while swimming. The patient and physician confirmed that the medication should be used twice a day, and the patient appeared motivated to follow the treatment plan in order to recover quickly. They also agreed that they would follow up by phone if the medication had not improved the symptoms within three days. This provided the patient with a clear timeline and goal, allowing him to leave the visit feeling relieved and hopeful that h</w:t>
      </w:r>
      <w:r>
        <w:rPr>
          <w:rFonts w:ascii="Times New Roman" w:eastAsia="Times New Roman" w:hAnsi="Times New Roman" w:cs="Times New Roman"/>
          <w:sz w:val="24"/>
          <w:szCs w:val="24"/>
        </w:rPr>
        <w:t>is symptoms would soon improve.</w:t>
      </w:r>
    </w:p>
    <w:p w14:paraId="0000004B"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Many medical errors occur simply due to miscommunication, either between the provider and the patient or between multiple providers. In fact, more than 3 million deaths occur annually worldwide due to patient safety incidents, which account for up to 15% of total hospital expenditures.</w:t>
      </w:r>
      <w:r>
        <w:rPr>
          <w:rFonts w:ascii="Times New Roman" w:eastAsia="Times New Roman" w:hAnsi="Times New Roman" w:cs="Times New Roman"/>
          <w:sz w:val="30"/>
          <w:szCs w:val="30"/>
          <w:vertAlign w:val="superscript"/>
        </w:rPr>
        <w:t>6</w:t>
      </w:r>
      <w:r>
        <w:rPr>
          <w:rFonts w:ascii="Times New Roman" w:eastAsia="Times New Roman" w:hAnsi="Times New Roman" w:cs="Times New Roman"/>
          <w:sz w:val="24"/>
          <w:szCs w:val="24"/>
        </w:rPr>
        <w:t xml:space="preserve"> In the United States alone, the cost of medication errors exceeds $17 billion per </w:t>
      </w:r>
      <w:r>
        <w:rPr>
          <w:rFonts w:ascii="Times New Roman" w:eastAsia="Times New Roman" w:hAnsi="Times New Roman" w:cs="Times New Roman"/>
          <w:sz w:val="24"/>
          <w:szCs w:val="24"/>
        </w:rPr>
        <w:lastRenderedPageBreak/>
        <w:t>year.</w:t>
      </w:r>
      <w:r>
        <w:rPr>
          <w:rFonts w:ascii="Times New Roman" w:eastAsia="Times New Roman" w:hAnsi="Times New Roman" w:cs="Times New Roman"/>
          <w:sz w:val="30"/>
          <w:szCs w:val="30"/>
          <w:vertAlign w:val="superscript"/>
        </w:rPr>
        <w:t>7</w:t>
      </w:r>
      <w:r>
        <w:rPr>
          <w:rFonts w:ascii="Times New Roman" w:eastAsia="Times New Roman" w:hAnsi="Times New Roman" w:cs="Times New Roman"/>
          <w:sz w:val="24"/>
          <w:szCs w:val="24"/>
        </w:rPr>
        <w:t xml:space="preserve"> The most common errors occur when clinicians poorly communicate or document important information about a patient’s condition. These problems can occur for many reasons, including language barriers, workload pressure, internal conflicts, inconsistencies during shift changes and inefficient hospital systems.</w:t>
      </w:r>
      <w:r>
        <w:rPr>
          <w:rFonts w:ascii="Times New Roman" w:eastAsia="Times New Roman" w:hAnsi="Times New Roman" w:cs="Times New Roman"/>
          <w:sz w:val="30"/>
          <w:szCs w:val="30"/>
          <w:vertAlign w:val="superscript"/>
        </w:rPr>
        <w:t>8</w:t>
      </w:r>
      <w:r>
        <w:rPr>
          <w:rFonts w:ascii="Times New Roman" w:eastAsia="Times New Roman" w:hAnsi="Times New Roman" w:cs="Times New Roman"/>
          <w:sz w:val="24"/>
          <w:szCs w:val="24"/>
        </w:rPr>
        <w:t xml:space="preserve"> When communicating with other caregivers, physicians must learn how to emphasize the most important information while still being succinct and accurate. By strengthening communication skills and follow</w:t>
      </w:r>
      <w:r>
        <w:rPr>
          <w:rFonts w:ascii="Times New Roman" w:eastAsia="Times New Roman" w:hAnsi="Times New Roman" w:cs="Times New Roman"/>
          <w:sz w:val="24"/>
          <w:szCs w:val="24"/>
        </w:rPr>
        <w:t>ing a more standardized approach to giving patient reports, physicians have the opportunity to improve their patients’ outcomes. Strategies that center the patient can lead to greater satisfaction on both the patient and provider side, resulting in lower instances of work-related burnout and dangerous errors.</w:t>
      </w:r>
    </w:p>
    <w:p w14:paraId="0000004C"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my time shadowing, I followed providers who largely embodied these aspects and cultivated positive relationships with their patients. However, professionalism should not end when the patient is no longer present. While shadowing a primary care physician, I noticed that he was polite and seemed to take the time to address all the concerns his patient had during a routine checkup. Yet once the patient had left, the physician spoke with his medical assistant and colleagues about how difficult the patien</w:t>
      </w:r>
      <w:r>
        <w:rPr>
          <w:rFonts w:ascii="Times New Roman" w:eastAsia="Times New Roman" w:hAnsi="Times New Roman" w:cs="Times New Roman"/>
          <w:sz w:val="24"/>
          <w:szCs w:val="24"/>
        </w:rPr>
        <w:t>t usually is, explaining that they consistently show up to appointments with more issues than they initially disclose. This frustration is understandable, as physicians have a limited amount of time to see each patient and want to be as prepared as possible going into each appointment. Additionally, if there are multiple problems, the physician might feel frustrated that they do not have adequate time and resources to thoroughly address them all. However, the instance could still be considered unprofessiona</w:t>
      </w:r>
      <w:r>
        <w:rPr>
          <w:rFonts w:ascii="Times New Roman" w:eastAsia="Times New Roman" w:hAnsi="Times New Roman" w:cs="Times New Roman"/>
          <w:sz w:val="24"/>
          <w:szCs w:val="24"/>
        </w:rPr>
        <w:t>l, especially given that they were still in a public setting where other patients could have heard the conversation if they were nearby.</w:t>
      </w:r>
    </w:p>
    <w:p w14:paraId="0000004D"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Although the physician clearly communicated during the appointment, they fell short afterward by speaking negatively about their patient in a professional setting. If any patient had heard these comments, it would be reasonable for them to feel as if their providers could be making the same comments about them. This type of behavior can contribute to a loss of trust in the medical field and reinforce the belief that providers do not genuinely care about their patients. Even when frustration is understandabl</w:t>
      </w:r>
      <w:r>
        <w:rPr>
          <w:rFonts w:ascii="Times New Roman" w:eastAsia="Times New Roman" w:hAnsi="Times New Roman" w:cs="Times New Roman"/>
          <w:sz w:val="24"/>
          <w:szCs w:val="24"/>
        </w:rPr>
        <w:t>e, healthcare professionals must remain mindful of how their words and actions may affect the environment around them.</w:t>
      </w:r>
    </w:p>
    <w:p w14:paraId="0000004E"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situation, I was an observer and did not interact with anyone during the conversation. However, if I were to have intervened, I would have asked to speak with the physician privately and might have asked why he had made a complaint about a patient while still in the office. In the most favorable case, he might recognize that the behavior was disrespectful, apologize, and avoid repeating it in the future. An aspect that may make this difficult is the difference in positions. As an observer, I did not</w:t>
      </w:r>
      <w:r>
        <w:rPr>
          <w:rFonts w:ascii="Times New Roman" w:eastAsia="Times New Roman" w:hAnsi="Times New Roman" w:cs="Times New Roman"/>
          <w:sz w:val="24"/>
          <w:szCs w:val="24"/>
        </w:rPr>
        <w:t xml:space="preserve"> feel it was my place to interrupt a short conversation between healthcare professionals. Additionally, bringing the matter to a third party would have been challenging as the only other people present were participating in the conversation. These are barriers that many students and trainees face, since they can feel pressured to conform to those who rank higher than them. When much of a student’s success depends on a mentor’s opinion, students may feel inclined to overlook behavior they know is unprofessio</w:t>
      </w:r>
      <w:r>
        <w:rPr>
          <w:rFonts w:ascii="Times New Roman" w:eastAsia="Times New Roman" w:hAnsi="Times New Roman" w:cs="Times New Roman"/>
          <w:sz w:val="24"/>
          <w:szCs w:val="24"/>
        </w:rPr>
        <w:t>nal.</w:t>
      </w:r>
    </w:p>
    <w:p w14:paraId="0000004F"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my shadowing experience was positive and I had the opportunity to observe a wide range of healthcare professionals interacting with their patients in thoughtful ways. Seeing these interactions reinforced the importance of communication and professionalism in clinical practice. At the same time, this moment also showed me that physicians face their own </w:t>
      </w:r>
      <w:r>
        <w:rPr>
          <w:rFonts w:ascii="Times New Roman" w:eastAsia="Times New Roman" w:hAnsi="Times New Roman" w:cs="Times New Roman"/>
          <w:sz w:val="24"/>
          <w:szCs w:val="24"/>
        </w:rPr>
        <w:lastRenderedPageBreak/>
        <w:t xml:space="preserve">frustrations while working in a demanding environment with limited time and many responsibilities. These pressures can lead to comments that do not reflect well on their character, even when they are otherwise skilled and dedicated physicians. By holding ourselves and others accountable for respectful behavior, healthcare professionals can help preserve patient trust as well as trust between colleagues. </w:t>
      </w:r>
    </w:p>
    <w:p w14:paraId="00000050" w14:textId="77777777" w:rsidR="00FB0F7E" w:rsidRDefault="00FB0F7E">
      <w:pPr>
        <w:spacing w:line="480" w:lineRule="auto"/>
        <w:rPr>
          <w:rFonts w:ascii="Times New Roman" w:eastAsia="Times New Roman" w:hAnsi="Times New Roman" w:cs="Times New Roman"/>
          <w:b/>
          <w:bCs/>
          <w:sz w:val="24"/>
          <w:szCs w:val="24"/>
        </w:rPr>
      </w:pPr>
    </w:p>
    <w:p w14:paraId="00000051" w14:textId="77777777" w:rsidR="00FB0F7E" w:rsidRDefault="00945CC1">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Social Determinants of Health</w:t>
      </w:r>
    </w:p>
    <w:p w14:paraId="00000052"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United States, there are numerous social determinants of health that shape the way patients access care. Socioeconomic status in particular plays a major role in determining access to healthcare, affordability, and quality of care. Individuals from racially marginalized communities and lower economic backgrounds consistently experience poorer health outcomes in comparison to their more privileged counterparts. This reflects the systemic inequalities that are embedded in our society and healthcare sys</w:t>
      </w:r>
      <w:r>
        <w:rPr>
          <w:rFonts w:ascii="Times New Roman" w:eastAsia="Times New Roman" w:hAnsi="Times New Roman" w:cs="Times New Roman"/>
          <w:sz w:val="24"/>
          <w:szCs w:val="24"/>
        </w:rPr>
        <w:t xml:space="preserve">tem. Barriers such as financial constraints, limited transportation, limited time, and societal discrimination contribute to the health disparities seen in these groups. These factors also intersect and affect each other, reinforcing the cycle that continues to perpetuate health inequities. </w:t>
      </w:r>
    </w:p>
    <w:p w14:paraId="00000053"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my clinical observation, I encountered a patient whose health was suffering from such social factors. The patient was a young Black woman who had come to her primary care physician with complaints of a persistent cold lasting over a week and ongoing foot and ankle pain. Notably, she was a single mother who served as the sole caregiver to her daughter. She described difficulty scheduling and attending regular medical appointments due to lack of time, highlighting one of the most common barriers to car</w:t>
      </w:r>
      <w:r>
        <w:rPr>
          <w:rFonts w:ascii="Times New Roman" w:eastAsia="Times New Roman" w:hAnsi="Times New Roman" w:cs="Times New Roman"/>
          <w:sz w:val="24"/>
          <w:szCs w:val="24"/>
        </w:rPr>
        <w:t xml:space="preserve">e. This pattern is consistent with national data that shows that 84.3% of single-parent households consist of women, compared to 15.7% </w:t>
      </w:r>
      <w:r>
        <w:rPr>
          <w:rFonts w:ascii="Times New Roman" w:eastAsia="Times New Roman" w:hAnsi="Times New Roman" w:cs="Times New Roman"/>
          <w:sz w:val="24"/>
          <w:szCs w:val="24"/>
        </w:rPr>
        <w:lastRenderedPageBreak/>
        <w:t>being men.</w:t>
      </w:r>
      <w:r>
        <w:rPr>
          <w:rFonts w:ascii="Times New Roman" w:eastAsia="Times New Roman" w:hAnsi="Times New Roman" w:cs="Times New Roman"/>
          <w:sz w:val="30"/>
          <w:szCs w:val="30"/>
          <w:vertAlign w:val="superscript"/>
        </w:rPr>
        <w:t>9</w:t>
      </w:r>
      <w:r>
        <w:rPr>
          <w:rFonts w:ascii="Times New Roman" w:eastAsia="Times New Roman" w:hAnsi="Times New Roman" w:cs="Times New Roman"/>
          <w:sz w:val="24"/>
          <w:szCs w:val="24"/>
        </w:rPr>
        <w:t xml:space="preserve"> This responsibility seemed to delay her decision to seek care, which could have led to her condition worsening. She noted that she had never been evaluated for her foot pain but had long suspected she had flat feet. However, she did not know much about her options and said she had never tried insoles. Her foot pain could have been compounded by her daily responsi</w:t>
      </w:r>
      <w:r>
        <w:rPr>
          <w:rFonts w:ascii="Times New Roman" w:eastAsia="Times New Roman" w:hAnsi="Times New Roman" w:cs="Times New Roman"/>
          <w:sz w:val="24"/>
          <w:szCs w:val="24"/>
        </w:rPr>
        <w:t>bilities, including the physical demands of working a job and caring for a child. This situation reflects a broader pattern seen in our society, in which the caregiving responsibilities fall primarily on women, often at the expense of their own health. For example, 20% of female caregivers report experiencing chronic stress, which is nearly two times greater than male caregivers and non-caregivers.</w:t>
      </w:r>
      <w:r>
        <w:rPr>
          <w:rFonts w:ascii="Times New Roman" w:eastAsia="Times New Roman" w:hAnsi="Times New Roman" w:cs="Times New Roman"/>
          <w:sz w:val="30"/>
          <w:szCs w:val="30"/>
          <w:vertAlign w:val="superscript"/>
        </w:rPr>
        <w:t>10</w:t>
      </w:r>
      <w:r>
        <w:rPr>
          <w:rFonts w:ascii="Times New Roman" w:eastAsia="Times New Roman" w:hAnsi="Times New Roman" w:cs="Times New Roman"/>
          <w:sz w:val="24"/>
          <w:szCs w:val="24"/>
        </w:rPr>
        <w:t xml:space="preserve"> In this patient’s case, the absence of support from the child’s father further intensified the burden this p</w:t>
      </w:r>
      <w:r>
        <w:rPr>
          <w:rFonts w:ascii="Times New Roman" w:eastAsia="Times New Roman" w:hAnsi="Times New Roman" w:cs="Times New Roman"/>
          <w:sz w:val="24"/>
          <w:szCs w:val="24"/>
        </w:rPr>
        <w:t xml:space="preserve">laced on her, and left her with limited ability to take care of herself. Throughout the appointment, the physician remained empathetic and showed a strong awareness of the social factors that were affecting her life. They prescribed the appropriate cold medication and provided a referral to a trusted foot specialist while also considering factors such as cost and accessibility. </w:t>
      </w:r>
    </w:p>
    <w:p w14:paraId="00000054"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another instance, I observed a patient who was struggling with mental health concerns as well as financial instability. Although he initially came in for a routine checkup and screening, it was evident that his health could not be separated from the social and economic barriers he faced. He recounted his inability to find reliable transportation to the hospital, which reminded me of how often access to care is taken for granted in our society. At the end of his appointment, he thanked the physician for t</w:t>
      </w:r>
      <w:r>
        <w:rPr>
          <w:rFonts w:ascii="Times New Roman" w:eastAsia="Times New Roman" w:hAnsi="Times New Roman" w:cs="Times New Roman"/>
          <w:sz w:val="24"/>
          <w:szCs w:val="24"/>
        </w:rPr>
        <w:t xml:space="preserve">aking his time and listening with genuine empathy and interest, noting that previous providers did not devote the same amount of care. This reinforced my belief in not only providing adequate care, but providing holistic care.  Patients often need empathy and </w:t>
      </w:r>
      <w:r>
        <w:rPr>
          <w:rFonts w:ascii="Times New Roman" w:eastAsia="Times New Roman" w:hAnsi="Times New Roman" w:cs="Times New Roman"/>
          <w:sz w:val="24"/>
          <w:szCs w:val="24"/>
        </w:rPr>
        <w:lastRenderedPageBreak/>
        <w:t>advocacy just as equally as they need medical treatment, and physicians must be mindful of the broader social factors that influence a person’s wellbeing.</w:t>
      </w:r>
    </w:p>
    <w:p w14:paraId="00000055"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the same time, shadowing exposed me to difficult and uncomfortable realities that prompted me to reflect more deeply on the profession. Many of the patients I encountered lacked strong social support systems and were navigating unstable living situations. A woman I observed was facing an abusive situation and even needed to file a police report against her partner. As an observer, I could feel the gravity of her situation and see how much trust she placed in the physician. This experience made me more aw</w:t>
      </w:r>
      <w:r>
        <w:rPr>
          <w:rFonts w:ascii="Times New Roman" w:eastAsia="Times New Roman" w:hAnsi="Times New Roman" w:cs="Times New Roman"/>
          <w:sz w:val="24"/>
          <w:szCs w:val="24"/>
        </w:rPr>
        <w:t xml:space="preserve">are of the emotional weight and ethical responsibility involved in taking care of people on such a personal level. </w:t>
      </w:r>
    </w:p>
    <w:p w14:paraId="00000056"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Universally, women face similar difficulties obtaining care. As women, they are often limited by stereotypes in the workplace, which may directly cause them harm. One study examined how family care responsibilities disproportionately placed on women influence both employment and health outcomes.</w:t>
      </w:r>
      <w:r>
        <w:rPr>
          <w:rFonts w:ascii="Times New Roman" w:eastAsia="Times New Roman" w:hAnsi="Times New Roman" w:cs="Times New Roman"/>
          <w:sz w:val="30"/>
          <w:szCs w:val="30"/>
          <w:vertAlign w:val="superscript"/>
        </w:rPr>
        <w:t>11</w:t>
      </w:r>
      <w:r>
        <w:rPr>
          <w:rFonts w:ascii="Times New Roman" w:eastAsia="Times New Roman" w:hAnsi="Times New Roman" w:cs="Times New Roman"/>
          <w:sz w:val="24"/>
          <w:szCs w:val="24"/>
        </w:rPr>
        <w:t xml:space="preserve"> The investigators found that women consistently bear greater household duties, which creates a double burden when combined with working a job. This limits their ability to fulfill both roles without negatively impacting their own wellbeing. The study highlights that women spend significantly more total hours working than men when unpaid labor is included. This leads to increased physical and psychological strain which can worsen when caring for multiple dependents such as children or elderly family membe</w:t>
      </w:r>
      <w:r>
        <w:rPr>
          <w:rFonts w:ascii="Times New Roman" w:eastAsia="Times New Roman" w:hAnsi="Times New Roman" w:cs="Times New Roman"/>
          <w:sz w:val="24"/>
          <w:szCs w:val="24"/>
        </w:rPr>
        <w:t>rs. Chronic stress is known to contribute to poor health outcomes and can further worsen existing health conditions.</w:t>
      </w:r>
    </w:p>
    <w:p w14:paraId="00000057"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factor to consider is the role of social policies. The same study compares healthcare in France and Italy, noting that childcare services, parental leave, and government support significantly impact women’s ability to balance their personal and professional lives. </w:t>
      </w:r>
      <w:r>
        <w:rPr>
          <w:rFonts w:ascii="Times New Roman" w:eastAsia="Times New Roman" w:hAnsi="Times New Roman" w:cs="Times New Roman"/>
          <w:sz w:val="24"/>
          <w:szCs w:val="24"/>
        </w:rPr>
        <w:lastRenderedPageBreak/>
        <w:t xml:space="preserve">Structural and institutional factors play a crucial role in lifting this burden from women, although the United States has historically lagged behind other developed countries in providing accessible care to those who are in need. Overall, the study demonstrates that gender, and the expectations that come with it, are a significant social determinant of health. </w:t>
      </w:r>
    </w:p>
    <w:p w14:paraId="00000058"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gender bias extends beyond the clinical setting and is deeply embedded in medical research itself. One specific article emphasized the historical underrepresentation of women in both preclinical and clinical research studies and the negative effects it has on health outcomes.</w:t>
      </w:r>
      <w:r>
        <w:rPr>
          <w:rFonts w:ascii="Times New Roman" w:eastAsia="Times New Roman" w:hAnsi="Times New Roman" w:cs="Times New Roman"/>
          <w:sz w:val="30"/>
          <w:szCs w:val="30"/>
          <w:vertAlign w:val="superscript"/>
        </w:rPr>
        <w:t>12</w:t>
      </w:r>
      <w:r>
        <w:rPr>
          <w:rFonts w:ascii="Times New Roman" w:eastAsia="Times New Roman" w:hAnsi="Times New Roman" w:cs="Times New Roman"/>
          <w:sz w:val="24"/>
          <w:szCs w:val="24"/>
        </w:rPr>
        <w:t xml:space="preserve"> Biomedical research has treated the male body as the default and often assumes that findings from male subjects can be generalized to females without needing to study them separately. As a result, female subjects have been frequently excluded, due to many incorrect assumptions such as the belief that hormonal cycles made females more variable, and therefore, more difficult to study. Although efforts have been made to increase female inclusion, progress has been slow. Many studies that included both sexes</w:t>
      </w:r>
      <w:r>
        <w:rPr>
          <w:rFonts w:ascii="Times New Roman" w:eastAsia="Times New Roman" w:hAnsi="Times New Roman" w:cs="Times New Roman"/>
          <w:sz w:val="24"/>
          <w:szCs w:val="24"/>
        </w:rPr>
        <w:t xml:space="preserve"> still failed to analyze results separately by sex, overlooking potentially crucial biological differences. This gap limits the applicability of the studies and perpetuates the inequities in medical treatments. The study reports that women often experience higher concentrations of drugs and slower drug elimination times compared to males when given the same dose. Despite this, medications are frequently prescribed at identical doses, contributing to a higher incidence of adverse drug reactions in women. Thi</w:t>
      </w:r>
      <w:r>
        <w:rPr>
          <w:rFonts w:ascii="Times New Roman" w:eastAsia="Times New Roman" w:hAnsi="Times New Roman" w:cs="Times New Roman"/>
          <w:sz w:val="24"/>
          <w:szCs w:val="24"/>
        </w:rPr>
        <w:t>s failure to adequately study and account for sex differences has real and damaging consequences on women’s health.</w:t>
      </w:r>
    </w:p>
    <w:p w14:paraId="00000059" w14:textId="77777777" w:rsidR="00FB0F7E" w:rsidRDefault="00FB0F7E">
      <w:pPr>
        <w:spacing w:line="480" w:lineRule="auto"/>
        <w:rPr>
          <w:rFonts w:ascii="Times New Roman" w:eastAsia="Times New Roman" w:hAnsi="Times New Roman" w:cs="Times New Roman"/>
          <w:b/>
          <w:bCs/>
          <w:sz w:val="24"/>
          <w:szCs w:val="24"/>
        </w:rPr>
      </w:pPr>
    </w:p>
    <w:p w14:paraId="0000005A" w14:textId="77777777" w:rsidR="00FB0F7E" w:rsidRDefault="00945CC1">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Program Reflection</w:t>
      </w:r>
    </w:p>
    <w:p w14:paraId="0000005B" w14:textId="77777777" w:rsidR="00FB0F7E" w:rsidRDefault="00945CC1">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 xml:space="preserve">Reflecting on my time in the MMSc program at Miami University, I am impressed by how much my perspective has shifted. While I entered the program with a solid academic </w:t>
      </w:r>
      <w:r>
        <w:rPr>
          <w:rFonts w:ascii="Times New Roman" w:eastAsia="Times New Roman" w:hAnsi="Times New Roman" w:cs="Times New Roman"/>
          <w:sz w:val="24"/>
          <w:szCs w:val="24"/>
        </w:rPr>
        <w:lastRenderedPageBreak/>
        <w:t>foundation, I am leaving with a sophisticated understanding of the human element of clinical practice. By engaging with the diverse patient populations of the Cincinnati community through shadowing and volunteering, I’ve gained exposure to the real-world challenges patients face daily. From the high-stakes environment of oncology to the persi</w:t>
      </w:r>
      <w:r>
        <w:rPr>
          <w:rFonts w:ascii="Times New Roman" w:eastAsia="Times New Roman" w:hAnsi="Times New Roman" w:cs="Times New Roman"/>
          <w:sz w:val="24"/>
          <w:szCs w:val="24"/>
        </w:rPr>
        <w:t>stent advocacy required in primary care, these experiences highlighted the complex nature of the field and the systemic barriers patients must navigate.</w:t>
      </w:r>
    </w:p>
    <w:p w14:paraId="0000005C"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My immersion in the clinical setting was furthered by conversations with the healthcare professionals themselves. By speaking with a wide variety of providers, including emergency medical technicians, physician assistants, and surgical specialists, I learned about the diverse paths that led them to a career in medicine. I met doctors who knew their calling immediately and others who took nontraditional routes, working in different careers before returning to school. Hearing accounts of international mission</w:t>
      </w:r>
      <w:r>
        <w:rPr>
          <w:rFonts w:ascii="Times New Roman" w:eastAsia="Times New Roman" w:hAnsi="Times New Roman" w:cs="Times New Roman"/>
          <w:sz w:val="24"/>
          <w:szCs w:val="24"/>
        </w:rPr>
        <w:t xml:space="preserve"> trips and the unique challenges other communities face gave me a balanced perspective on both the fulfillment and the emotional demands of this career.</w:t>
      </w:r>
    </w:p>
    <w:p w14:paraId="0000005D" w14:textId="77777777" w:rsidR="00FB0F7E" w:rsidRDefault="00945C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Ultimately, this program has helped me gain the confidence and skillset required for the next stage of my education. I’ve witnessed how social barriers can impact a patient's health and why empathetic communication is crucial. My time at Miami University has been a period of significant personal and professional growth, and I am moving forward with the resolve to meet the challenges of this field and become the most exceptional healthcare provider possible.</w:t>
      </w:r>
    </w:p>
    <w:p w14:paraId="0000005E" w14:textId="77777777" w:rsidR="00FB0F7E" w:rsidRDefault="00FB0F7E">
      <w:pPr>
        <w:spacing w:line="480" w:lineRule="auto"/>
        <w:rPr>
          <w:rFonts w:ascii="Times New Roman" w:eastAsia="Times New Roman" w:hAnsi="Times New Roman" w:cs="Times New Roman"/>
          <w:b/>
          <w:bCs/>
          <w:sz w:val="24"/>
          <w:szCs w:val="24"/>
        </w:rPr>
      </w:pPr>
    </w:p>
    <w:p w14:paraId="0000005F" w14:textId="77777777" w:rsidR="00FB0F7E" w:rsidRDefault="00FB0F7E">
      <w:pPr>
        <w:spacing w:line="480" w:lineRule="auto"/>
        <w:rPr>
          <w:rFonts w:ascii="Times New Roman" w:eastAsia="Times New Roman" w:hAnsi="Times New Roman" w:cs="Times New Roman"/>
          <w:b/>
          <w:bCs/>
          <w:sz w:val="24"/>
          <w:szCs w:val="24"/>
        </w:rPr>
      </w:pPr>
    </w:p>
    <w:p w14:paraId="00000060" w14:textId="77777777" w:rsidR="00FB0F7E" w:rsidRDefault="00FB0F7E">
      <w:pPr>
        <w:spacing w:line="480" w:lineRule="auto"/>
        <w:rPr>
          <w:rFonts w:ascii="Times New Roman" w:eastAsia="Times New Roman" w:hAnsi="Times New Roman" w:cs="Times New Roman"/>
          <w:b/>
          <w:bCs/>
          <w:sz w:val="24"/>
          <w:szCs w:val="24"/>
        </w:rPr>
      </w:pPr>
    </w:p>
    <w:p w14:paraId="00000061" w14:textId="77777777" w:rsidR="00FB0F7E" w:rsidRDefault="00FB0F7E">
      <w:pPr>
        <w:spacing w:line="480" w:lineRule="auto"/>
        <w:rPr>
          <w:rFonts w:ascii="Times New Roman" w:eastAsia="Times New Roman" w:hAnsi="Times New Roman" w:cs="Times New Roman"/>
          <w:b/>
          <w:bCs/>
          <w:sz w:val="24"/>
          <w:szCs w:val="24"/>
        </w:rPr>
      </w:pPr>
    </w:p>
    <w:p w14:paraId="00000062" w14:textId="77777777" w:rsidR="00FB0F7E" w:rsidRDefault="00945CC1">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References</w:t>
      </w:r>
    </w:p>
    <w:p w14:paraId="00000063" w14:textId="77777777" w:rsidR="00FB0F7E" w:rsidRDefault="00945CC1">
      <w:pPr>
        <w:numPr>
          <w:ilvl w:val="0"/>
          <w:numId w:val="1"/>
        </w:numPr>
        <w:spacing w:before="240" w:line="480" w:lineRule="auto"/>
        <w:rPr>
          <w:rFonts w:ascii="Times New Roman" w:eastAsia="Times New Roman" w:hAnsi="Times New Roman" w:cs="Times New Roman"/>
        </w:rPr>
      </w:pPr>
      <w:r>
        <w:rPr>
          <w:rFonts w:ascii="Times New Roman" w:eastAsia="Times New Roman" w:hAnsi="Times New Roman" w:cs="Times New Roman"/>
          <w:highlight w:val="white"/>
        </w:rPr>
        <w:t>Piña-Sánchez P, Chávez-González A, Ruiz-Tachiquín M, Vadillo E, Monroy-García A, Montesinos JJ, Grajales R, Gutiérrez de la Barrera M, Mayani H. Cancer Biology, Epidemiology, and Treatment in the 21st Century: Current Status and Future Challenges From a Biomedical Perspective. Cancer Control. 2021 Jan-Dec;28:10732748211038735. doi: 10.1177/10732748211038735. PMID: 34565215; PMCID: PMC8481752.</w:t>
      </w:r>
    </w:p>
    <w:p w14:paraId="00000064" w14:textId="77777777" w:rsidR="00FB0F7E" w:rsidRDefault="00945CC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highlight w:val="white"/>
        </w:rPr>
        <w:t>Gao C, Duan X, Peng L, Zhao Y, Li P, Mou K. Melanoma vaccines: current R&amp;D landscape, translational hurdles, and future outlook-a perspective drawn from 442 clinical trials. Front Immunol. 2026 Jan 19;16:1698503. doi: 10.3389/fimmu.2025.1698503. PMID: 41635845; PMCID: PMC12862056.</w:t>
      </w:r>
    </w:p>
    <w:p w14:paraId="00000065" w14:textId="77777777" w:rsidR="00FB0F7E" w:rsidRDefault="00945CC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highlight w:val="white"/>
        </w:rPr>
        <w:t>Barnell EK, Wurtzler EM, La Rocca J, Fitzgerald T, Petrone J, Hao Y, Kang Y, Holmes FL, Lieberman DA. Multitarget Stool RNA Test for Colorectal Cancer Screening. JAMA. 2023 Nov 14;330(18):1760-1768. doi: 10.1001/jama.2023.22231. Erratum in: JAMA. 2024 Mar 12;331(10):888. doi: 10.1001/jama.2024.1637. PMID: 37870871; PMCID: PMC10594178.</w:t>
      </w:r>
    </w:p>
    <w:p w14:paraId="00000066" w14:textId="77777777" w:rsidR="00FB0F7E" w:rsidRDefault="00945CC1">
      <w:pPr>
        <w:numPr>
          <w:ilvl w:val="0"/>
          <w:numId w:val="1"/>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Brown NF, McBain C, Brazil L, Peoples S, Jefferies S, Harris F, Vinayan A, Plaha P, Brooks C, Hussain S, Dutton SJ, Cook J, Ng SM, Levy S, Coutts T, Mulholland P. Ipilimumab with temozolomide vs. temozolomide alone after surgery and chemoradiotherapy in recently diagnosed glioblastoma: a randomized phase II clinical trial. Neurooncol Adv. 2025 May 26;7(1):vdaf032. doi: 10.1093/noajnl/vdaf032. PMID: 40800123; PMCID: PMC12342986.</w:t>
      </w:r>
    </w:p>
    <w:p w14:paraId="00000067" w14:textId="77777777" w:rsidR="00FB0F7E" w:rsidRDefault="00945CC1">
      <w:pPr>
        <w:numPr>
          <w:ilvl w:val="0"/>
          <w:numId w:val="1"/>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Lim M, Weller M, Idbaih A, Steinbach J, Finocchiaro G, Raval RR, Ansstas G, Baehring J, Taylor JW, Honnorat J, Petrecca K, De Vos F, Wick A, Sumrall A, Sahebjam S, Mellinghoff IK, Kinoshita M, Roberts M, Slepetis R, Warad D, Leung D, Lee M, Reardon DA, Omuro A. Phase III trial of chemoradiotherapy with temozolomide plus nivolumab or placebo for newly diagnosed glioblastoma with methylated MGMT promoter. Neuro Oncol. 2022 Nov 2;24(11):1935-1949. doi: 10.1093/neuonc/noac116. PMID: 35511454; PMCID: PMC9629431.</w:t>
      </w:r>
    </w:p>
    <w:p w14:paraId="00000068" w14:textId="77777777" w:rsidR="00FB0F7E" w:rsidRDefault="00945CC1">
      <w:pPr>
        <w:numPr>
          <w:ilvl w:val="0"/>
          <w:numId w:val="1"/>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Howick J, Bennett-Weston A, Solomon J, Nockels K, Bostock J, Keshtkar L. How does communication affect patient safety? Protocol for a systematic review and logic model. BMJ Open. 2024 May 27;14(5):e085312. doi: 10.1136/bmjopen-2024-085312. PMID: 38802275; PMCID: PMC11131125. </w:t>
      </w:r>
    </w:p>
    <w:p w14:paraId="00000069" w14:textId="77777777" w:rsidR="00FB0F7E" w:rsidRDefault="00945CC1">
      <w:pPr>
        <w:numPr>
          <w:ilvl w:val="0"/>
          <w:numId w:val="1"/>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Van Den Bos J, Rustagi K, Gray T, et al. The $17.1 billion problem: the annual cost of measurable medical errors. Health Affairs 2011;30:596–603. 10.1377/hlthaff.2011.0084  </w:t>
      </w:r>
    </w:p>
    <w:p w14:paraId="0000006A" w14:textId="77777777" w:rsidR="00FB0F7E" w:rsidRDefault="00945CC1">
      <w:pPr>
        <w:numPr>
          <w:ilvl w:val="0"/>
          <w:numId w:val="1"/>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Alder, S. (2026, January 2). </w:t>
      </w:r>
      <w:r>
        <w:rPr>
          <w:rFonts w:ascii="Times New Roman" w:eastAsia="Times New Roman" w:hAnsi="Times New Roman" w:cs="Times New Roman"/>
          <w:i/>
          <w:iCs/>
          <w:highlight w:val="white"/>
        </w:rPr>
        <w:t>Effects of poor communication in healthcare - 2026 update</w:t>
      </w:r>
      <w:r>
        <w:rPr>
          <w:rFonts w:ascii="Times New Roman" w:eastAsia="Times New Roman" w:hAnsi="Times New Roman" w:cs="Times New Roman"/>
          <w:highlight w:val="white"/>
        </w:rPr>
        <w:t>. The HIPAA Journal. https://www.hipaajournal.com/effects-of-poor-communication-in-healthcare/</w:t>
      </w:r>
    </w:p>
    <w:p w14:paraId="0000006B" w14:textId="77777777" w:rsidR="00FB0F7E" w:rsidRDefault="00945CC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 xml:space="preserve">Chavda K, Nisarga V. Single Parenting: Impact on Child’s Development. </w:t>
      </w:r>
      <w:r>
        <w:rPr>
          <w:rFonts w:ascii="Times New Roman" w:eastAsia="Times New Roman" w:hAnsi="Times New Roman" w:cs="Times New Roman"/>
          <w:i/>
          <w:iCs/>
        </w:rPr>
        <w:t>Journal of Indian Association for Child and Adolescent Mental Health</w:t>
      </w:r>
      <w:r>
        <w:rPr>
          <w:rFonts w:ascii="Times New Roman" w:eastAsia="Times New Roman" w:hAnsi="Times New Roman" w:cs="Times New Roman"/>
        </w:rPr>
        <w:t>. 2023;19(1):14-20. doi:</w:t>
      </w:r>
      <w:hyperlink r:id="rId7">
        <w:r>
          <w:rPr>
            <w:rFonts w:ascii="Times New Roman" w:eastAsia="Times New Roman" w:hAnsi="Times New Roman" w:cs="Times New Roman"/>
          </w:rPr>
          <w:t>10.1177/09731342231179017</w:t>
        </w:r>
      </w:hyperlink>
    </w:p>
    <w:p w14:paraId="0000006C" w14:textId="77777777" w:rsidR="00FB0F7E" w:rsidRDefault="00945CC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Demitz, C. (2017, December 15). </w:t>
      </w:r>
      <w:r>
        <w:rPr>
          <w:rFonts w:ascii="Times New Roman" w:eastAsia="Times New Roman" w:hAnsi="Times New Roman" w:cs="Times New Roman"/>
          <w:i/>
          <w:iCs/>
          <w:highlight w:val="white"/>
        </w:rPr>
        <w:t>Caregiving and its impact on women</w:t>
      </w:r>
      <w:r>
        <w:rPr>
          <w:rFonts w:ascii="Times New Roman" w:eastAsia="Times New Roman" w:hAnsi="Times New Roman" w:cs="Times New Roman"/>
          <w:highlight w:val="white"/>
        </w:rPr>
        <w:t xml:space="preserve">. MSU Extension. </w:t>
      </w:r>
      <w:hyperlink r:id="rId8">
        <w:r>
          <w:rPr>
            <w:rFonts w:ascii="Times New Roman" w:eastAsia="Times New Roman" w:hAnsi="Times New Roman" w:cs="Times New Roman"/>
            <w:highlight w:val="white"/>
          </w:rPr>
          <w:t>https://www.canr.msu.edu/news/caregiving_and_its_impact_on_women</w:t>
        </w:r>
      </w:hyperlink>
    </w:p>
    <w:p w14:paraId="0000006D" w14:textId="77777777" w:rsidR="00FB0F7E" w:rsidRDefault="00945CC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highlight w:val="white"/>
        </w:rPr>
        <w:t>Mussida C, Patimo R. Women's Family Care Responsibilities, Employment and Health: A Tale of Two Countries. J Fam Econ Issues. 2021;42(3):489-507. doi: 10.1007/s10834-020-09742-4. Epub 2020 Dec 11. PMID: 33324030; PMCID: PMC7729144.</w:t>
      </w:r>
    </w:p>
    <w:p w14:paraId="0000006E" w14:textId="77777777" w:rsidR="00FB0F7E" w:rsidRDefault="00945CC1">
      <w:pPr>
        <w:numPr>
          <w:ilvl w:val="0"/>
          <w:numId w:val="1"/>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Zucker I, Prendergast BJ, Beery AK. Pervasive Neglect of Sex Differences in Biomedical Research. Cold Spring Harb Perspect Biol. 2022 May 17;14(4):a039156. doi: 10.1101/cshperspect.a039156. PMID: 34649925; PMCID: PMC9121903.</w:t>
      </w:r>
    </w:p>
    <w:p w14:paraId="0000006F" w14:textId="77777777" w:rsidR="00FB0F7E" w:rsidRDefault="00945CC1">
      <w:pPr>
        <w:numPr>
          <w:ilvl w:val="0"/>
          <w:numId w:val="1"/>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Xing Y, Wu HT, Rajurkar S, Tan T, Hsu V. Immunotherapy in Melanoma. Cancer Treat Res. 2025;129:173-186. doi: 10.1007/978-3-031-97242-3_9. PMID: 40847234.</w:t>
      </w:r>
    </w:p>
    <w:p w14:paraId="00000070" w14:textId="77777777" w:rsidR="00FB0F7E" w:rsidRDefault="00945CC1">
      <w:pPr>
        <w:numPr>
          <w:ilvl w:val="0"/>
          <w:numId w:val="1"/>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Gupta S. Screening for Colorectal Cancer. Hematol Oncol Clin North Am. 2022 Jun;36(3):393-414. doi: 10.1016/j.hoc.2022.02.001. Epub 2022 Apr 30. PMID: 35501176; PMCID: PMC9167799.</w:t>
      </w:r>
    </w:p>
    <w:p w14:paraId="00000071" w14:textId="77777777" w:rsidR="00FB0F7E" w:rsidRDefault="00FB0F7E">
      <w:pPr>
        <w:spacing w:line="480" w:lineRule="auto"/>
        <w:rPr>
          <w:rFonts w:ascii="Times New Roman" w:eastAsia="Times New Roman" w:hAnsi="Times New Roman" w:cs="Times New Roman"/>
          <w:color w:val="212121"/>
          <w:sz w:val="24"/>
          <w:szCs w:val="24"/>
          <w:highlight w:val="white"/>
        </w:rPr>
      </w:pPr>
    </w:p>
    <w:sectPr w:rsidR="00FB0F7E">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3D92A" w14:textId="77777777" w:rsidR="00945CC1" w:rsidRDefault="00945CC1">
      <w:pPr>
        <w:spacing w:line="240" w:lineRule="auto"/>
      </w:pPr>
      <w:r>
        <w:separator/>
      </w:r>
    </w:p>
  </w:endnote>
  <w:endnote w:type="continuationSeparator" w:id="0">
    <w:p w14:paraId="114CAA51" w14:textId="77777777" w:rsidR="00945CC1" w:rsidRDefault="00945C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1351BCE-D2EB-4B37-9A73-08AF90B265DE}"/>
  </w:font>
  <w:font w:name="Cambria">
    <w:panose1 w:val="02040503050406030204"/>
    <w:charset w:val="00"/>
    <w:family w:val="roman"/>
    <w:pitch w:val="variable"/>
    <w:sig w:usb0="E00006FF" w:usb1="420024FF" w:usb2="02000000" w:usb3="00000000" w:csb0="0000019F" w:csb1="00000000"/>
    <w:embedRegular r:id="rId2" w:fontKey="{61C7E244-1639-41E6-99AF-B78D46FB38F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B9416" w14:textId="77777777" w:rsidR="00945CC1" w:rsidRDefault="00945CC1">
      <w:pPr>
        <w:spacing w:line="240" w:lineRule="auto"/>
      </w:pPr>
      <w:r>
        <w:separator/>
      </w:r>
    </w:p>
  </w:footnote>
  <w:footnote w:type="continuationSeparator" w:id="0">
    <w:p w14:paraId="10695DDC" w14:textId="77777777" w:rsidR="00945CC1" w:rsidRDefault="00945C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2" w14:textId="77777777" w:rsidR="00FB0F7E" w:rsidRDefault="00FB0F7E">
    <w:pPr>
      <w:jc w:val="right"/>
      <w:rPr>
        <w:rFonts w:ascii="Times New Roman" w:eastAsia="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4AB7"/>
    <w:multiLevelType w:val="multilevel"/>
    <w:tmpl w:val="EA7C15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7BC44B5"/>
    <w:multiLevelType w:val="multilevel"/>
    <w:tmpl w:val="464C4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DC00BB"/>
    <w:multiLevelType w:val="multilevel"/>
    <w:tmpl w:val="88861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91532557">
    <w:abstractNumId w:val="0"/>
  </w:num>
  <w:num w:numId="2" w16cid:durableId="1811167264">
    <w:abstractNumId w:val="1"/>
  </w:num>
  <w:num w:numId="3" w16cid:durableId="1962030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7E"/>
    <w:rsid w:val="00247C0E"/>
    <w:rsid w:val="00945CC1"/>
    <w:rsid w:val="00AE3F14"/>
    <w:rsid w:val="00FB0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6547673-138C-46F9-A535-76CA53479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anr.msu.edu/news/caregiving_and_its_impact_on_women" TargetMode="External"/><Relationship Id="rId3" Type="http://schemas.openxmlformats.org/officeDocument/2006/relationships/settings" Target="settings.xml"/><Relationship Id="rId7" Type="http://schemas.openxmlformats.org/officeDocument/2006/relationships/hyperlink" Target="https://doi.org/10.1177/097313422311790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5254</Words>
  <Characters>29953</Characters>
  <Application>Microsoft Office Word</Application>
  <DocSecurity>4</DocSecurity>
  <Lines>249</Lines>
  <Paragraphs>70</Paragraphs>
  <ScaleCrop>false</ScaleCrop>
  <Company/>
  <LinksUpToDate>false</LinksUpToDate>
  <CharactersWithSpaces>35137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DeLaet</dc:creator>
  <cp:lastModifiedBy>David DeLaet</cp:lastModifiedBy>
  <cp:revision>2</cp:revision>
  <dcterms:created xsi:type="dcterms:W3CDTF">2026-05-14T17:12:00Z</dcterms:created>
  <dcterms:modified xsi:type="dcterms:W3CDTF">2026-05-14T17:12:00Z</dcterms:modified>
</cp:coreProperties>
</file>