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0A137" w14:textId="3C2BF579" w:rsidR="00D014F1" w:rsidRPr="00D014F1" w:rsidRDefault="00D014F1" w:rsidP="00D014F1">
      <w:pPr>
        <w:spacing w:line="480" w:lineRule="auto"/>
        <w:rPr>
          <w:rFonts w:ascii="Times New Roman" w:hAnsi="Times New Roman" w:cs="Times New Roman"/>
        </w:rPr>
      </w:pPr>
    </w:p>
    <w:p w14:paraId="6535A620" w14:textId="7D74F1A1" w:rsidR="00D014F1" w:rsidRPr="00D014F1" w:rsidRDefault="00D014F1" w:rsidP="00D014F1">
      <w:pPr>
        <w:spacing w:line="480" w:lineRule="auto"/>
        <w:jc w:val="center"/>
        <w:rPr>
          <w:rFonts w:ascii="Times New Roman" w:hAnsi="Times New Roman" w:cs="Times New Roman"/>
        </w:rPr>
      </w:pPr>
      <w:r w:rsidRPr="00D014F1">
        <w:rPr>
          <w:rFonts w:ascii="Times New Roman" w:hAnsi="Times New Roman" w:cs="Times New Roman"/>
        </w:rPr>
        <w:t>Brittany Downer</w:t>
      </w:r>
    </w:p>
    <w:p w14:paraId="7FFCFC7F" w14:textId="32C73606"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MMSc. in BMS</w:t>
      </w:r>
    </w:p>
    <w:p w14:paraId="276F928B" w14:textId="1E8A036A" w:rsidR="00D014F1" w:rsidRPr="00D014F1" w:rsidRDefault="00D014F1" w:rsidP="00D014F1">
      <w:pPr>
        <w:spacing w:line="480" w:lineRule="auto"/>
        <w:jc w:val="center"/>
        <w:rPr>
          <w:rFonts w:ascii="Times New Roman" w:hAnsi="Times New Roman" w:cs="Times New Roman"/>
        </w:rPr>
      </w:pPr>
      <w:r w:rsidRPr="00D014F1">
        <w:rPr>
          <w:rFonts w:ascii="Times New Roman" w:hAnsi="Times New Roman" w:cs="Times New Roman"/>
        </w:rPr>
        <w:t>Presented to the Faculty of Miami University in partial</w:t>
      </w:r>
    </w:p>
    <w:p w14:paraId="7E55A274" w14:textId="2FB1BD3F" w:rsidR="00D014F1" w:rsidRPr="00D014F1" w:rsidRDefault="00D014F1" w:rsidP="00D014F1">
      <w:pPr>
        <w:spacing w:line="480" w:lineRule="auto"/>
        <w:jc w:val="center"/>
        <w:rPr>
          <w:rFonts w:ascii="Times New Roman" w:hAnsi="Times New Roman" w:cs="Times New Roman"/>
        </w:rPr>
      </w:pPr>
      <w:r w:rsidRPr="00D014F1">
        <w:rPr>
          <w:rFonts w:ascii="Times New Roman" w:hAnsi="Times New Roman" w:cs="Times New Roman"/>
        </w:rPr>
        <w:t>fulfillment of the requirements for the degree of</w:t>
      </w:r>
    </w:p>
    <w:p w14:paraId="545192F1" w14:textId="08236EB2" w:rsidR="00D014F1" w:rsidRPr="00D014F1" w:rsidRDefault="00D014F1" w:rsidP="00D014F1">
      <w:pPr>
        <w:spacing w:line="480" w:lineRule="auto"/>
        <w:jc w:val="center"/>
        <w:rPr>
          <w:rFonts w:ascii="Times New Roman" w:hAnsi="Times New Roman" w:cs="Times New Roman"/>
        </w:rPr>
      </w:pPr>
      <w:r w:rsidRPr="00D014F1">
        <w:rPr>
          <w:rFonts w:ascii="Times New Roman" w:hAnsi="Times New Roman" w:cs="Times New Roman"/>
        </w:rPr>
        <w:t>Master of Medical Science</w:t>
      </w:r>
      <w:r w:rsidR="007D5C31">
        <w:rPr>
          <w:rFonts w:ascii="Times New Roman" w:hAnsi="Times New Roman" w:cs="Times New Roman"/>
        </w:rPr>
        <w:t xml:space="preserve"> in Biomedical Science</w:t>
      </w:r>
    </w:p>
    <w:p w14:paraId="065AF95D" w14:textId="1F704C57"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The College of Arts &amp; Science</w:t>
      </w:r>
    </w:p>
    <w:p w14:paraId="1E3F4A27" w14:textId="7B2B7E06"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The Graduate School</w:t>
      </w:r>
    </w:p>
    <w:p w14:paraId="7D0C889D" w14:textId="4E8EB54C"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Miami University</w:t>
      </w:r>
    </w:p>
    <w:p w14:paraId="64E1F60E" w14:textId="53CE0E08"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Oxford, Ohio</w:t>
      </w:r>
    </w:p>
    <w:p w14:paraId="4BA95D36" w14:textId="22FD388D"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2026</w:t>
      </w:r>
    </w:p>
    <w:p w14:paraId="618898B8" w14:textId="77777777" w:rsidR="00D014F1" w:rsidRDefault="00D014F1" w:rsidP="00D014F1">
      <w:pPr>
        <w:spacing w:line="480" w:lineRule="auto"/>
        <w:rPr>
          <w:rFonts w:ascii="Times New Roman" w:hAnsi="Times New Roman" w:cs="Times New Roman"/>
        </w:rPr>
      </w:pPr>
    </w:p>
    <w:p w14:paraId="1049719B" w14:textId="77777777" w:rsidR="00EA209A" w:rsidRDefault="00EA209A" w:rsidP="00D014F1">
      <w:pPr>
        <w:spacing w:line="480" w:lineRule="auto"/>
        <w:rPr>
          <w:rFonts w:ascii="Times New Roman" w:hAnsi="Times New Roman" w:cs="Times New Roman"/>
        </w:rPr>
      </w:pPr>
    </w:p>
    <w:p w14:paraId="1FBE88B3" w14:textId="77777777" w:rsidR="00EA209A" w:rsidRPr="00D014F1" w:rsidRDefault="00EA209A" w:rsidP="00D014F1">
      <w:pPr>
        <w:spacing w:line="480" w:lineRule="auto"/>
        <w:rPr>
          <w:rFonts w:ascii="Times New Roman" w:hAnsi="Times New Roman" w:cs="Times New Roman"/>
        </w:rPr>
      </w:pPr>
    </w:p>
    <w:p w14:paraId="5057BB3C" w14:textId="66371BC3" w:rsidR="00D014F1" w:rsidRPr="00D014F1" w:rsidRDefault="00D014F1" w:rsidP="00D014F1">
      <w:pPr>
        <w:spacing w:line="480" w:lineRule="auto"/>
        <w:rPr>
          <w:rFonts w:ascii="Times New Roman" w:hAnsi="Times New Roman" w:cs="Times New Roman"/>
        </w:rPr>
      </w:pPr>
      <w:r w:rsidRPr="00D014F1">
        <w:rPr>
          <w:rFonts w:ascii="Times New Roman" w:hAnsi="Times New Roman" w:cs="Times New Roman"/>
        </w:rPr>
        <w:t>Dr. Michael Crowder</w:t>
      </w:r>
      <w:r w:rsidR="006335D6">
        <w:rPr>
          <w:rFonts w:ascii="Times New Roman" w:hAnsi="Times New Roman" w:cs="Times New Roman"/>
        </w:rPr>
        <w:t>,</w:t>
      </w:r>
      <w:r w:rsidRPr="00D014F1">
        <w:rPr>
          <w:rFonts w:ascii="Times New Roman" w:hAnsi="Times New Roman" w:cs="Times New Roman"/>
        </w:rPr>
        <w:t xml:space="preserve"> Graduate Director </w:t>
      </w:r>
    </w:p>
    <w:p w14:paraId="50B6D851" w14:textId="77777777" w:rsidR="00D014F1" w:rsidRPr="00D014F1" w:rsidRDefault="00D014F1" w:rsidP="00D014F1">
      <w:pPr>
        <w:spacing w:line="480" w:lineRule="auto"/>
        <w:rPr>
          <w:rFonts w:ascii="Times New Roman" w:hAnsi="Times New Roman" w:cs="Times New Roman"/>
        </w:rPr>
      </w:pPr>
      <w:r w:rsidRPr="00D014F1">
        <w:rPr>
          <w:rFonts w:ascii="Times New Roman" w:hAnsi="Times New Roman" w:cs="Times New Roman"/>
        </w:rPr>
        <w:t xml:space="preserve">Dr. David DeLaet, Graduate Committee Member </w:t>
      </w:r>
    </w:p>
    <w:p w14:paraId="11958E5E" w14:textId="77777777" w:rsidR="00D014F1" w:rsidRPr="00D014F1" w:rsidRDefault="00D014F1" w:rsidP="00D014F1">
      <w:pPr>
        <w:spacing w:line="480" w:lineRule="auto"/>
        <w:rPr>
          <w:rFonts w:ascii="Times New Roman" w:hAnsi="Times New Roman" w:cs="Times New Roman"/>
        </w:rPr>
      </w:pPr>
      <w:r w:rsidRPr="00D014F1">
        <w:rPr>
          <w:rFonts w:ascii="Times New Roman" w:hAnsi="Times New Roman" w:cs="Times New Roman"/>
        </w:rPr>
        <w:t xml:space="preserve">Dr. Michael Robinson, Graduate Committee Member </w:t>
      </w:r>
    </w:p>
    <w:p w14:paraId="6876045A" w14:textId="77777777" w:rsidR="00D014F1" w:rsidRPr="00D014F1" w:rsidRDefault="00D014F1" w:rsidP="00D014F1">
      <w:pPr>
        <w:spacing w:line="480" w:lineRule="auto"/>
        <w:rPr>
          <w:rFonts w:ascii="Times New Roman" w:hAnsi="Times New Roman" w:cs="Times New Roman"/>
        </w:rPr>
      </w:pPr>
    </w:p>
    <w:p w14:paraId="1291DA59" w14:textId="77777777" w:rsidR="00D014F1" w:rsidRPr="00D014F1" w:rsidRDefault="00D014F1" w:rsidP="00D014F1">
      <w:pPr>
        <w:spacing w:line="480" w:lineRule="auto"/>
        <w:rPr>
          <w:rFonts w:ascii="Times New Roman" w:hAnsi="Times New Roman" w:cs="Times New Roman"/>
        </w:rPr>
      </w:pPr>
    </w:p>
    <w:p w14:paraId="00724028" w14:textId="77777777" w:rsidR="00D014F1" w:rsidRDefault="00D014F1" w:rsidP="00D014F1">
      <w:pPr>
        <w:spacing w:line="480" w:lineRule="auto"/>
        <w:rPr>
          <w:rFonts w:ascii="Times New Roman" w:hAnsi="Times New Roman" w:cs="Times New Roman"/>
        </w:rPr>
      </w:pPr>
    </w:p>
    <w:p w14:paraId="5DF877C0" w14:textId="77777777" w:rsidR="00EA209A" w:rsidRDefault="00EA209A" w:rsidP="00D014F1">
      <w:pPr>
        <w:spacing w:line="480" w:lineRule="auto"/>
        <w:rPr>
          <w:rFonts w:ascii="Times New Roman" w:hAnsi="Times New Roman" w:cs="Times New Roman"/>
        </w:rPr>
      </w:pPr>
    </w:p>
    <w:p w14:paraId="281D20E8" w14:textId="77777777" w:rsidR="00EA209A" w:rsidRPr="00D014F1" w:rsidRDefault="00EA209A" w:rsidP="00D014F1">
      <w:pPr>
        <w:spacing w:line="480" w:lineRule="auto"/>
        <w:rPr>
          <w:rFonts w:ascii="Times New Roman" w:hAnsi="Times New Roman" w:cs="Times New Roman"/>
        </w:rPr>
      </w:pPr>
    </w:p>
    <w:p w14:paraId="3A13FE5F" w14:textId="77777777" w:rsidR="00D014F1" w:rsidRPr="00D014F1" w:rsidRDefault="00D014F1" w:rsidP="00EA209A">
      <w:pPr>
        <w:spacing w:line="480" w:lineRule="auto"/>
        <w:jc w:val="center"/>
        <w:rPr>
          <w:rFonts w:ascii="Times New Roman" w:hAnsi="Times New Roman" w:cs="Times New Roman"/>
        </w:rPr>
      </w:pPr>
    </w:p>
    <w:p w14:paraId="2C125310" w14:textId="77777777"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w:t>
      </w:r>
    </w:p>
    <w:p w14:paraId="560955DE" w14:textId="77777777"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Brittany Downer</w:t>
      </w:r>
    </w:p>
    <w:p w14:paraId="3F30034F" w14:textId="77777777" w:rsidR="00D014F1" w:rsidRPr="00D014F1" w:rsidRDefault="00D014F1" w:rsidP="00EA209A">
      <w:pPr>
        <w:spacing w:line="480" w:lineRule="auto"/>
        <w:jc w:val="center"/>
        <w:rPr>
          <w:rFonts w:ascii="Times New Roman" w:hAnsi="Times New Roman" w:cs="Times New Roman"/>
        </w:rPr>
      </w:pPr>
      <w:r w:rsidRPr="00D014F1">
        <w:rPr>
          <w:rFonts w:ascii="Times New Roman" w:hAnsi="Times New Roman" w:cs="Times New Roman"/>
        </w:rPr>
        <w:t>2026</w:t>
      </w:r>
    </w:p>
    <w:p w14:paraId="2FFBC97D" w14:textId="77777777" w:rsidR="00D014F1" w:rsidRPr="00D014F1" w:rsidRDefault="00D014F1" w:rsidP="00D014F1">
      <w:pPr>
        <w:spacing w:line="480" w:lineRule="auto"/>
        <w:rPr>
          <w:rFonts w:ascii="Times New Roman" w:hAnsi="Times New Roman" w:cs="Times New Roman"/>
        </w:rPr>
      </w:pPr>
    </w:p>
    <w:p w14:paraId="696D8771" w14:textId="7E1DBBB0" w:rsidR="00EA209A" w:rsidRDefault="00EA209A" w:rsidP="00D014F1">
      <w:pPr>
        <w:spacing w:line="480" w:lineRule="auto"/>
        <w:rPr>
          <w:rFonts w:ascii="Times New Roman" w:hAnsi="Times New Roman" w:cs="Times New Roman"/>
        </w:rPr>
      </w:pPr>
    </w:p>
    <w:p w14:paraId="55B65728" w14:textId="77777777" w:rsidR="00EA209A" w:rsidRDefault="00EA209A">
      <w:pPr>
        <w:rPr>
          <w:rFonts w:ascii="Times New Roman" w:hAnsi="Times New Roman" w:cs="Times New Roman"/>
        </w:rPr>
      </w:pPr>
      <w:r>
        <w:rPr>
          <w:rFonts w:ascii="Times New Roman" w:hAnsi="Times New Roman" w:cs="Times New Roman"/>
        </w:rPr>
        <w:br w:type="page"/>
      </w:r>
    </w:p>
    <w:p w14:paraId="635D2319" w14:textId="225A4D79" w:rsidR="00EA209A" w:rsidRDefault="00EA209A" w:rsidP="00EA209A">
      <w:pPr>
        <w:tabs>
          <w:tab w:val="left" w:pos="3293"/>
        </w:tabs>
        <w:spacing w:line="480" w:lineRule="auto"/>
        <w:ind w:firstLine="720"/>
        <w:rPr>
          <w:rFonts w:ascii="Times New Roman" w:hAnsi="Times New Roman" w:cs="Times New Roman"/>
        </w:rPr>
      </w:pPr>
      <w:r>
        <w:rPr>
          <w:rFonts w:ascii="Times New Roman" w:hAnsi="Times New Roman" w:cs="Times New Roman"/>
        </w:rPr>
        <w:lastRenderedPageBreak/>
        <w:t xml:space="preserve">This discussion is a composition of my experiences within the </w:t>
      </w:r>
      <w:r w:rsidR="007D5C31">
        <w:rPr>
          <w:rFonts w:ascii="Times New Roman" w:hAnsi="Times New Roman" w:cs="Times New Roman"/>
        </w:rPr>
        <w:t xml:space="preserve">Master of Medical Science in </w:t>
      </w:r>
      <w:r>
        <w:rPr>
          <w:rFonts w:ascii="Times New Roman" w:hAnsi="Times New Roman" w:cs="Times New Roman"/>
        </w:rPr>
        <w:t xml:space="preserve">Biomedical Science program at Miami University. Each section highlights a key theme about healthcare that was learned in the classroom and later made applicable in the clinical setting. The conclusions developed throughout these </w:t>
      </w:r>
      <w:r w:rsidR="00A80237">
        <w:rPr>
          <w:rFonts w:ascii="Times New Roman" w:hAnsi="Times New Roman" w:cs="Times New Roman"/>
        </w:rPr>
        <w:t>topics are</w:t>
      </w:r>
      <w:r>
        <w:rPr>
          <w:rFonts w:ascii="Times New Roman" w:hAnsi="Times New Roman" w:cs="Times New Roman"/>
        </w:rPr>
        <w:t xml:space="preserve"> the summation of thoughtful inquiries created from anecdote and academia and later challenged and interrogated by research and medical erudition.  As such, I attribute my personal growth to the contributions of the many faculty and professors at Miami University as well as the healthcare providers that I encountered in clinic. </w:t>
      </w:r>
    </w:p>
    <w:p w14:paraId="3C1EA146" w14:textId="77777777" w:rsidR="00EA209A" w:rsidRDefault="00EA209A" w:rsidP="00D014F1">
      <w:pPr>
        <w:spacing w:line="480" w:lineRule="auto"/>
        <w:rPr>
          <w:rFonts w:ascii="Times New Roman" w:hAnsi="Times New Roman" w:cs="Times New Roman"/>
        </w:rPr>
      </w:pPr>
    </w:p>
    <w:p w14:paraId="105728BE" w14:textId="00843D60" w:rsidR="00D014F1" w:rsidRPr="00EA209A" w:rsidRDefault="00EA209A" w:rsidP="00EA209A">
      <w:pPr>
        <w:rPr>
          <w:rFonts w:ascii="Times New Roman" w:hAnsi="Times New Roman" w:cs="Times New Roman"/>
        </w:rPr>
      </w:pPr>
      <w:r>
        <w:rPr>
          <w:rFonts w:ascii="Times New Roman" w:hAnsi="Times New Roman" w:cs="Times New Roman"/>
        </w:rPr>
        <w:br w:type="page"/>
      </w:r>
      <w:r w:rsidR="00D014F1" w:rsidRPr="00EA209A">
        <w:rPr>
          <w:rFonts w:ascii="Times New Roman" w:hAnsi="Times New Roman" w:cs="Times New Roman"/>
          <w:b/>
          <w:bCs/>
          <w:u w:val="single"/>
        </w:rPr>
        <w:lastRenderedPageBreak/>
        <w:t>TABLE OF CONTENTS</w:t>
      </w:r>
    </w:p>
    <w:p w14:paraId="470715EF" w14:textId="77777777" w:rsidR="00EA209A" w:rsidRPr="00EA209A" w:rsidRDefault="00EA209A" w:rsidP="00EA209A">
      <w:pPr>
        <w:rPr>
          <w:rFonts w:ascii="Times New Roman" w:hAnsi="Times New Roman" w:cs="Times New Roman"/>
        </w:rPr>
      </w:pPr>
    </w:p>
    <w:p w14:paraId="7AC2B1B9" w14:textId="7276E608" w:rsidR="00D014F1" w:rsidRPr="00D014F1" w:rsidRDefault="00D014F1" w:rsidP="00D014F1">
      <w:pPr>
        <w:spacing w:line="480" w:lineRule="auto"/>
        <w:rPr>
          <w:rFonts w:ascii="Times New Roman" w:hAnsi="Times New Roman" w:cs="Times New Roman"/>
        </w:rPr>
      </w:pPr>
      <w:r w:rsidRPr="00D014F1">
        <w:rPr>
          <w:rFonts w:ascii="Times New Roman" w:hAnsi="Times New Roman" w:cs="Times New Roman"/>
        </w:rPr>
        <w:t>Introduction......................................................................................................................................</w:t>
      </w:r>
      <w:r w:rsidR="008E4D5B">
        <w:rPr>
          <w:rFonts w:ascii="Times New Roman" w:hAnsi="Times New Roman" w:cs="Times New Roman"/>
        </w:rPr>
        <w:t>5</w:t>
      </w:r>
      <w:r w:rsidRPr="00D014F1">
        <w:rPr>
          <w:rFonts w:ascii="Times New Roman" w:hAnsi="Times New Roman" w:cs="Times New Roman"/>
        </w:rPr>
        <w:t>From the Classroom to the Clinic....................................................................................................</w:t>
      </w:r>
      <w:r w:rsidR="008E4D5B">
        <w:rPr>
          <w:rFonts w:ascii="Times New Roman" w:hAnsi="Times New Roman" w:cs="Times New Roman"/>
        </w:rPr>
        <w:t>6</w:t>
      </w:r>
      <w:r w:rsidRPr="00D014F1">
        <w:rPr>
          <w:rFonts w:ascii="Times New Roman" w:hAnsi="Times New Roman" w:cs="Times New Roman"/>
        </w:rPr>
        <w:t xml:space="preserve"> Framing a Clinical Question and Interrogating the Literature.........................................................8 Reflection on Effective Communication in Healthcare.................................................................1</w:t>
      </w:r>
      <w:r w:rsidR="008E4D5B">
        <w:rPr>
          <w:rFonts w:ascii="Times New Roman" w:hAnsi="Times New Roman" w:cs="Times New Roman"/>
        </w:rPr>
        <w:t>2</w:t>
      </w:r>
      <w:r w:rsidRPr="00D014F1">
        <w:rPr>
          <w:rFonts w:ascii="Times New Roman" w:hAnsi="Times New Roman" w:cs="Times New Roman"/>
        </w:rPr>
        <w:t xml:space="preserve"> Reflection on Psychosocial Determinants of Health ....................................................................1</w:t>
      </w:r>
      <w:r w:rsidR="008E4D5B">
        <w:rPr>
          <w:rFonts w:ascii="Times New Roman" w:hAnsi="Times New Roman" w:cs="Times New Roman"/>
        </w:rPr>
        <w:t>7</w:t>
      </w:r>
      <w:r w:rsidRPr="00D014F1">
        <w:rPr>
          <w:rFonts w:ascii="Times New Roman" w:hAnsi="Times New Roman" w:cs="Times New Roman"/>
        </w:rPr>
        <w:t xml:space="preserve"> Impact of the Program on My View Towards a Career in Healthcare...........................................</w:t>
      </w:r>
      <w:r w:rsidR="008E4D5B">
        <w:rPr>
          <w:rFonts w:ascii="Times New Roman" w:hAnsi="Times New Roman" w:cs="Times New Roman"/>
        </w:rPr>
        <w:t>21</w:t>
      </w:r>
    </w:p>
    <w:p w14:paraId="1A2908F6" w14:textId="77777777" w:rsidR="00D014F1" w:rsidRPr="00D014F1" w:rsidRDefault="00D014F1" w:rsidP="00D014F1">
      <w:pPr>
        <w:spacing w:line="480" w:lineRule="auto"/>
        <w:rPr>
          <w:rFonts w:ascii="Times New Roman" w:hAnsi="Times New Roman" w:cs="Times New Roman"/>
        </w:rPr>
      </w:pPr>
    </w:p>
    <w:p w14:paraId="3349777F" w14:textId="6E590133" w:rsidR="00EA209A" w:rsidRDefault="00EA209A" w:rsidP="00D014F1">
      <w:pPr>
        <w:spacing w:line="480" w:lineRule="auto"/>
        <w:rPr>
          <w:rFonts w:ascii="Times New Roman" w:hAnsi="Times New Roman" w:cs="Times New Roman"/>
        </w:rPr>
      </w:pPr>
    </w:p>
    <w:p w14:paraId="679003E7" w14:textId="77777777" w:rsidR="00EA209A" w:rsidRDefault="00EA209A">
      <w:pPr>
        <w:rPr>
          <w:rFonts w:ascii="Times New Roman" w:hAnsi="Times New Roman" w:cs="Times New Roman"/>
        </w:rPr>
      </w:pPr>
      <w:r>
        <w:rPr>
          <w:rFonts w:ascii="Times New Roman" w:hAnsi="Times New Roman" w:cs="Times New Roman"/>
        </w:rPr>
        <w:br w:type="page"/>
      </w:r>
    </w:p>
    <w:p w14:paraId="60E58DED" w14:textId="25CBE810" w:rsidR="00EA209A" w:rsidRDefault="00EA209A" w:rsidP="00EA209A">
      <w:pPr>
        <w:rPr>
          <w:rFonts w:ascii="Times New Roman" w:hAnsi="Times New Roman" w:cs="Times New Roman"/>
          <w:b/>
          <w:bCs/>
          <w:u w:val="single"/>
        </w:rPr>
      </w:pPr>
      <w:r w:rsidRPr="00EA209A">
        <w:rPr>
          <w:rFonts w:ascii="Times New Roman" w:hAnsi="Times New Roman" w:cs="Times New Roman"/>
          <w:b/>
          <w:bCs/>
          <w:u w:val="single"/>
        </w:rPr>
        <w:lastRenderedPageBreak/>
        <w:t>Introduction</w:t>
      </w:r>
    </w:p>
    <w:p w14:paraId="04E71350" w14:textId="77777777" w:rsidR="00EA209A" w:rsidRPr="00EA209A" w:rsidRDefault="00EA209A" w:rsidP="00EA209A">
      <w:pPr>
        <w:rPr>
          <w:rFonts w:ascii="Times New Roman" w:hAnsi="Times New Roman" w:cs="Times New Roman"/>
        </w:rPr>
      </w:pPr>
    </w:p>
    <w:p w14:paraId="39B70681" w14:textId="46B565FE" w:rsidR="00D014F1" w:rsidRPr="00D014F1" w:rsidRDefault="00EA209A" w:rsidP="008E4D5B">
      <w:pPr>
        <w:spacing w:line="480" w:lineRule="auto"/>
        <w:ind w:firstLine="720"/>
        <w:rPr>
          <w:rFonts w:ascii="Times New Roman" w:hAnsi="Times New Roman" w:cs="Times New Roman"/>
        </w:rPr>
      </w:pPr>
      <w:r w:rsidRPr="00D014F1">
        <w:rPr>
          <w:rFonts w:ascii="Times New Roman" w:hAnsi="Times New Roman" w:cs="Times New Roman"/>
        </w:rPr>
        <w:t>The Master of Medical Science (MMSc.) in Biomedical Science (BMS) program has contributed greatly to my career pursuits as well as my personal growth. Since my first day in the BMS program, I have had the opportunity to shadow with multiple physicians from various specialties and backgrounds in both ambulatory and inpatient care settings. Though I remain unsure of what specialty I wish to pursue, I am more encouraged to attend medical school than I was prior to starting the program. The courses offered in the program provide a framework for understanding scientific research and discoveries, many of which cover aspects of the biological processes and pharmacodynamics that are considered when developing a patient’s plan of care. Shadowing providers from different specialties has also offered me a greater comprehension of medical practice as well as networking opportunities to facilitate my career growth. Additionally, the BMS program incorporates education about the business side of clinical practice as well as the financial strategies of state-sponsored hospitals. Profitability in healthcare might be a controversial topic, but understanding the finances behind medical business is invaluable for delivering quality patient care and preventive medicine. As an example, I observed how competent business practices enabled the nonprofit Cleveland Clinic to generate positive revenue prior to the COVID-19 pandemic and remain profitable in 2025 despite an increased patient load. The extracurricular activities that are a key component of the program provided me an opportunity to contribute to the local community through my volunteer efforts at TriHealth’s Clinic and Animal Friend’s animal shelter. My experiences in business, medicine, and volunteerism have been invaluable in my individual growth and will prove essential to my goal as a future applicant for and student in medical school.</w:t>
      </w:r>
    </w:p>
    <w:p w14:paraId="3BAFB42B" w14:textId="77777777" w:rsidR="00D014F1" w:rsidRPr="00D014F1" w:rsidRDefault="00D014F1" w:rsidP="00D014F1">
      <w:pPr>
        <w:spacing w:line="480" w:lineRule="auto"/>
        <w:rPr>
          <w:rFonts w:ascii="Times New Roman" w:hAnsi="Times New Roman" w:cs="Times New Roman"/>
          <w:b/>
          <w:bCs/>
          <w:u w:val="single"/>
        </w:rPr>
      </w:pPr>
      <w:r w:rsidRPr="00D014F1">
        <w:rPr>
          <w:rFonts w:ascii="Times New Roman" w:hAnsi="Times New Roman" w:cs="Times New Roman"/>
          <w:b/>
          <w:bCs/>
          <w:u w:val="single"/>
        </w:rPr>
        <w:lastRenderedPageBreak/>
        <w:t>From the Classroom to the Clinic</w:t>
      </w:r>
    </w:p>
    <w:p w14:paraId="5E9FBA8C" w14:textId="7EB32AAD"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Shadowing has given me the opportunity to observe clinical operations from the perspectives of various providers as well as study how the medical decision-making process contributes to overall quality patient care. Prior to my experience in the MMSc. in</w:t>
      </w:r>
      <w:r w:rsidR="007D5C31">
        <w:rPr>
          <w:rFonts w:ascii="Times New Roman" w:hAnsi="Times New Roman" w:cs="Times New Roman"/>
        </w:rPr>
        <w:t xml:space="preserve"> BMS</w:t>
      </w:r>
      <w:r w:rsidRPr="00D014F1">
        <w:rPr>
          <w:rFonts w:ascii="Times New Roman" w:hAnsi="Times New Roman" w:cs="Times New Roman"/>
        </w:rPr>
        <w:t xml:space="preserve"> Biomedical Science (BMS) program, I shadowed and scribed for several practitioners exclusively in the field of emergency medicine. However, the BMS program has contributed to my clinical experience through shadowing opportunities in both internal medicine and psychiatry clinical practices. This exposure has not only added to my understanding of healthcare practice but also elucidated how patients navigate the healthcare system. Oftentimes, my observations and discussions with providers challenged my rudimentary comprehension of medical practice and the primary goal of physicians delivering quality care. This is especially evident with patients who experience medical crises outside of the clinical setting and must be considered when they are engaged with healthcare providers. </w:t>
      </w:r>
    </w:p>
    <w:p w14:paraId="30C48066" w14:textId="2785DD8D"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During my time shadowing at a psychiatric clinic, most patients I encountered had chronic conditions. Oftentimes, these patients have been seen for many years for the same clinical condition with the goal being ongoing management and prevention of exacerbating and recurring symptoms. In these cases, medical intervention typically involves listening to patients express their woes and possibly altering</w:t>
      </w:r>
      <w:r w:rsidR="00EC7B59">
        <w:rPr>
          <w:rFonts w:ascii="Times New Roman" w:hAnsi="Times New Roman" w:cs="Times New Roman"/>
        </w:rPr>
        <w:t xml:space="preserve"> their</w:t>
      </w:r>
      <w:r w:rsidRPr="00D014F1">
        <w:rPr>
          <w:rFonts w:ascii="Times New Roman" w:hAnsi="Times New Roman" w:cs="Times New Roman"/>
        </w:rPr>
        <w:t xml:space="preserve"> prescription regimen. What I found most interesting was just how foundational physicians were in the lives of their patients. Patients often contacted the provider for medical advice, a potential crisis, or even to deliver words of appreciation. The provider was not solely a medical practitioner but also an invaluable resource for support. A patient’s</w:t>
      </w:r>
      <w:r w:rsidR="00EC7B59">
        <w:rPr>
          <w:rFonts w:ascii="Times New Roman" w:hAnsi="Times New Roman" w:cs="Times New Roman"/>
        </w:rPr>
        <w:t xml:space="preserve"> </w:t>
      </w:r>
      <w:r w:rsidRPr="00D014F1">
        <w:rPr>
          <w:rFonts w:ascii="Times New Roman" w:hAnsi="Times New Roman" w:cs="Times New Roman"/>
        </w:rPr>
        <w:t xml:space="preserve">inability to recognize their own illness or even poverty of speech can make a treatment plan difficult to actualize. However, a compassionate provider following </w:t>
      </w:r>
      <w:r w:rsidRPr="00D014F1">
        <w:rPr>
          <w:rFonts w:ascii="Times New Roman" w:hAnsi="Times New Roman" w:cs="Times New Roman"/>
        </w:rPr>
        <w:lastRenderedPageBreak/>
        <w:t xml:space="preserve">evidence-based practices can become a </w:t>
      </w:r>
      <w:r w:rsidR="00EC7B59">
        <w:rPr>
          <w:rFonts w:ascii="Times New Roman" w:hAnsi="Times New Roman" w:cs="Times New Roman"/>
        </w:rPr>
        <w:t xml:space="preserve">critical </w:t>
      </w:r>
      <w:r w:rsidRPr="00D014F1">
        <w:rPr>
          <w:rFonts w:ascii="Times New Roman" w:hAnsi="Times New Roman" w:cs="Times New Roman"/>
        </w:rPr>
        <w:t>part of a patient’s care and an invaluable resource that assists patients as they navigate their lives. Even though the clinic visit ends, treatment continues and spans into the patient</w:t>
      </w:r>
      <w:r w:rsidR="00EC7B59">
        <w:rPr>
          <w:rFonts w:ascii="Times New Roman" w:hAnsi="Times New Roman" w:cs="Times New Roman"/>
        </w:rPr>
        <w:t>s</w:t>
      </w:r>
      <w:r w:rsidR="00A80237">
        <w:rPr>
          <w:rFonts w:ascii="Times New Roman" w:hAnsi="Times New Roman" w:cs="Times New Roman"/>
        </w:rPr>
        <w:t xml:space="preserve">’ </w:t>
      </w:r>
      <w:r w:rsidR="00A80237" w:rsidRPr="00D014F1">
        <w:rPr>
          <w:rFonts w:ascii="Times New Roman" w:hAnsi="Times New Roman" w:cs="Times New Roman"/>
        </w:rPr>
        <w:t>lives</w:t>
      </w:r>
      <w:r w:rsidRPr="00D014F1">
        <w:rPr>
          <w:rFonts w:ascii="Times New Roman" w:hAnsi="Times New Roman" w:cs="Times New Roman"/>
        </w:rPr>
        <w:t xml:space="preserve"> to provide meaningful support and suitable therapeutic for symptomatic management. </w:t>
      </w:r>
    </w:p>
    <w:p w14:paraId="19A04793" w14:textId="77777777" w:rsidR="00893B78" w:rsidRDefault="00D014F1" w:rsidP="00893B78">
      <w:pPr>
        <w:spacing w:line="480" w:lineRule="auto"/>
        <w:ind w:firstLine="720"/>
        <w:rPr>
          <w:rFonts w:ascii="Times New Roman" w:hAnsi="Times New Roman" w:cs="Times New Roman"/>
        </w:rPr>
      </w:pPr>
      <w:r w:rsidRPr="00D014F1">
        <w:rPr>
          <w:rFonts w:ascii="Times New Roman" w:hAnsi="Times New Roman" w:cs="Times New Roman"/>
        </w:rPr>
        <w:t xml:space="preserve">In the summer of 2025, I was enrolled in “Introduction to Health </w:t>
      </w:r>
      <w:r w:rsidR="00A80237" w:rsidRPr="00D014F1">
        <w:rPr>
          <w:rFonts w:ascii="Times New Roman" w:hAnsi="Times New Roman" w:cs="Times New Roman"/>
        </w:rPr>
        <w:t>Professions</w:t>
      </w:r>
      <w:r w:rsidR="00EC7B59">
        <w:rPr>
          <w:rFonts w:ascii="Times New Roman" w:hAnsi="Times New Roman" w:cs="Times New Roman"/>
        </w:rPr>
        <w:t>,</w:t>
      </w:r>
      <w:r w:rsidRPr="00D014F1">
        <w:rPr>
          <w:rFonts w:ascii="Times New Roman" w:hAnsi="Times New Roman" w:cs="Times New Roman"/>
        </w:rPr>
        <w:t>”</w:t>
      </w:r>
      <w:r w:rsidR="00EC7B59">
        <w:rPr>
          <w:rFonts w:ascii="Times New Roman" w:hAnsi="Times New Roman" w:cs="Times New Roman"/>
        </w:rPr>
        <w:t xml:space="preserve"> a course</w:t>
      </w:r>
      <w:r w:rsidRPr="00D014F1">
        <w:rPr>
          <w:rFonts w:ascii="Times New Roman" w:hAnsi="Times New Roman" w:cs="Times New Roman"/>
        </w:rPr>
        <w:t xml:space="preserve"> which discussed how various medical professions addressed patient health and how the providers in each </w:t>
      </w:r>
      <w:r w:rsidR="00A80237" w:rsidRPr="00D014F1">
        <w:rPr>
          <w:rFonts w:ascii="Times New Roman" w:hAnsi="Times New Roman" w:cs="Times New Roman"/>
        </w:rPr>
        <w:t xml:space="preserve">field </w:t>
      </w:r>
      <w:r w:rsidR="00A80237">
        <w:rPr>
          <w:rFonts w:ascii="Times New Roman" w:hAnsi="Times New Roman" w:cs="Times New Roman"/>
        </w:rPr>
        <w:t>collaborated</w:t>
      </w:r>
      <w:r w:rsidR="00A80237" w:rsidRPr="00D014F1">
        <w:rPr>
          <w:rFonts w:ascii="Times New Roman" w:hAnsi="Times New Roman" w:cs="Times New Roman"/>
        </w:rPr>
        <w:t xml:space="preserve"> </w:t>
      </w:r>
      <w:r w:rsidR="00A80237">
        <w:rPr>
          <w:rFonts w:ascii="Times New Roman" w:hAnsi="Times New Roman" w:cs="Times New Roman"/>
        </w:rPr>
        <w:t>in</w:t>
      </w:r>
      <w:r w:rsidR="00EC7B59">
        <w:rPr>
          <w:rFonts w:ascii="Times New Roman" w:hAnsi="Times New Roman" w:cs="Times New Roman"/>
        </w:rPr>
        <w:t xml:space="preserve"> the development of a</w:t>
      </w:r>
      <w:r w:rsidRPr="00D014F1">
        <w:rPr>
          <w:rFonts w:ascii="Times New Roman" w:hAnsi="Times New Roman" w:cs="Times New Roman"/>
        </w:rPr>
        <w:t xml:space="preserve"> patient’s plan of care. This </w:t>
      </w:r>
      <w:r w:rsidR="00FD3513">
        <w:rPr>
          <w:rFonts w:ascii="Times New Roman" w:hAnsi="Times New Roman" w:cs="Times New Roman"/>
        </w:rPr>
        <w:t xml:space="preserve">partnership </w:t>
      </w:r>
      <w:r w:rsidRPr="00D014F1">
        <w:rPr>
          <w:rFonts w:ascii="Times New Roman" w:hAnsi="Times New Roman" w:cs="Times New Roman"/>
        </w:rPr>
        <w:t xml:space="preserve">can take the form of a primary care provider referring their patient to gastroenterologist due to gastric or intestinal symptoms or a psychiatrist coordinating with a therapist to manage the progress of a patient’s mental health. Continuity of care has been established as a variable for patient satisfaction and as an </w:t>
      </w:r>
      <w:r w:rsidR="00A80237" w:rsidRPr="00D014F1">
        <w:rPr>
          <w:rFonts w:ascii="Times New Roman" w:hAnsi="Times New Roman" w:cs="Times New Roman"/>
        </w:rPr>
        <w:t xml:space="preserve">indicator </w:t>
      </w:r>
      <w:r w:rsidR="00A80237">
        <w:rPr>
          <w:rFonts w:ascii="Times New Roman" w:hAnsi="Times New Roman" w:cs="Times New Roman"/>
        </w:rPr>
        <w:t>of</w:t>
      </w:r>
      <w:r w:rsidR="00FD3513">
        <w:rPr>
          <w:rFonts w:ascii="Times New Roman" w:hAnsi="Times New Roman" w:cs="Times New Roman"/>
        </w:rPr>
        <w:t xml:space="preserve"> whether</w:t>
      </w:r>
      <w:r w:rsidR="00FD3513" w:rsidRPr="00D014F1">
        <w:rPr>
          <w:rFonts w:ascii="Times New Roman" w:hAnsi="Times New Roman" w:cs="Times New Roman"/>
        </w:rPr>
        <w:t xml:space="preserve"> </w:t>
      </w:r>
      <w:r w:rsidRPr="00D014F1">
        <w:rPr>
          <w:rFonts w:ascii="Times New Roman" w:hAnsi="Times New Roman" w:cs="Times New Roman"/>
        </w:rPr>
        <w:t xml:space="preserve">a patient will continue to see a provider [1]. Additionally, patient outcomes could be a potential factor for continuity of care, as positive </w:t>
      </w:r>
      <w:r w:rsidR="00FD3513">
        <w:rPr>
          <w:rFonts w:ascii="Times New Roman" w:hAnsi="Times New Roman" w:cs="Times New Roman"/>
        </w:rPr>
        <w:t>results</w:t>
      </w:r>
      <w:r w:rsidR="00FD3513" w:rsidRPr="00D014F1">
        <w:rPr>
          <w:rFonts w:ascii="Times New Roman" w:hAnsi="Times New Roman" w:cs="Times New Roman"/>
        </w:rPr>
        <w:t xml:space="preserve"> </w:t>
      </w:r>
      <w:r w:rsidRPr="00D014F1">
        <w:rPr>
          <w:rFonts w:ascii="Times New Roman" w:hAnsi="Times New Roman" w:cs="Times New Roman"/>
        </w:rPr>
        <w:t xml:space="preserve">may encourage patients </w:t>
      </w:r>
      <w:r w:rsidR="00A80237" w:rsidRPr="00D014F1">
        <w:rPr>
          <w:rFonts w:ascii="Times New Roman" w:hAnsi="Times New Roman" w:cs="Times New Roman"/>
        </w:rPr>
        <w:t xml:space="preserve">to </w:t>
      </w:r>
      <w:r w:rsidR="00A80237">
        <w:rPr>
          <w:rFonts w:ascii="Times New Roman" w:hAnsi="Times New Roman" w:cs="Times New Roman"/>
        </w:rPr>
        <w:t>more</w:t>
      </w:r>
      <w:r w:rsidR="002C4AE4">
        <w:rPr>
          <w:rFonts w:ascii="Times New Roman" w:hAnsi="Times New Roman" w:cs="Times New Roman"/>
        </w:rPr>
        <w:t xml:space="preserve"> routinely </w:t>
      </w:r>
      <w:r w:rsidR="00FD3513">
        <w:rPr>
          <w:rFonts w:ascii="Times New Roman" w:hAnsi="Times New Roman" w:cs="Times New Roman"/>
        </w:rPr>
        <w:t>follow up with</w:t>
      </w:r>
      <w:r w:rsidRPr="00D014F1">
        <w:rPr>
          <w:rFonts w:ascii="Times New Roman" w:hAnsi="Times New Roman" w:cs="Times New Roman"/>
        </w:rPr>
        <w:t xml:space="preserve"> providers. However, the research on this </w:t>
      </w:r>
      <w:r w:rsidR="002C4AE4">
        <w:rPr>
          <w:rFonts w:ascii="Times New Roman" w:hAnsi="Times New Roman" w:cs="Times New Roman"/>
        </w:rPr>
        <w:t xml:space="preserve">topic </w:t>
      </w:r>
      <w:r w:rsidRPr="00D014F1">
        <w:rPr>
          <w:rFonts w:ascii="Times New Roman" w:hAnsi="Times New Roman" w:cs="Times New Roman"/>
        </w:rPr>
        <w:t xml:space="preserve">suggests that the relationship between </w:t>
      </w:r>
      <w:r w:rsidR="002C4AE4">
        <w:rPr>
          <w:rFonts w:ascii="Times New Roman" w:hAnsi="Times New Roman" w:cs="Times New Roman"/>
        </w:rPr>
        <w:t xml:space="preserve">patient outcomes and </w:t>
      </w:r>
      <w:r w:rsidRPr="00D014F1">
        <w:rPr>
          <w:rFonts w:ascii="Times New Roman" w:hAnsi="Times New Roman" w:cs="Times New Roman"/>
        </w:rPr>
        <w:t xml:space="preserve">continuity of care is a multifaceted issue that is not </w:t>
      </w:r>
      <w:r w:rsidR="00A80237" w:rsidRPr="00D014F1">
        <w:rPr>
          <w:rFonts w:ascii="Times New Roman" w:hAnsi="Times New Roman" w:cs="Times New Roman"/>
        </w:rPr>
        <w:t xml:space="preserve">easily </w:t>
      </w:r>
      <w:r w:rsidR="00A80237">
        <w:rPr>
          <w:rFonts w:ascii="Times New Roman" w:hAnsi="Times New Roman" w:cs="Times New Roman"/>
        </w:rPr>
        <w:t>understood</w:t>
      </w:r>
      <w:r w:rsidRPr="00D014F1">
        <w:rPr>
          <w:rFonts w:ascii="Times New Roman" w:hAnsi="Times New Roman" w:cs="Times New Roman"/>
        </w:rPr>
        <w:t xml:space="preserve">. For example, a </w:t>
      </w:r>
      <w:r w:rsidR="002C4AE4">
        <w:rPr>
          <w:rFonts w:ascii="Times New Roman" w:hAnsi="Times New Roman" w:cs="Times New Roman"/>
        </w:rPr>
        <w:t xml:space="preserve">2026 </w:t>
      </w:r>
      <w:r w:rsidRPr="00D014F1">
        <w:rPr>
          <w:rFonts w:ascii="Times New Roman" w:hAnsi="Times New Roman" w:cs="Times New Roman"/>
        </w:rPr>
        <w:t xml:space="preserve">meta-analysis on schizophrenia </w:t>
      </w:r>
      <w:r w:rsidR="00A80237" w:rsidRPr="00D014F1">
        <w:rPr>
          <w:rFonts w:ascii="Times New Roman" w:hAnsi="Times New Roman" w:cs="Times New Roman"/>
        </w:rPr>
        <w:t>suggest</w:t>
      </w:r>
      <w:r w:rsidR="00A80237">
        <w:rPr>
          <w:rFonts w:ascii="Times New Roman" w:hAnsi="Times New Roman" w:cs="Times New Roman"/>
        </w:rPr>
        <w:t xml:space="preserve">ed </w:t>
      </w:r>
      <w:r w:rsidR="00A80237" w:rsidRPr="00D014F1">
        <w:rPr>
          <w:rFonts w:ascii="Times New Roman" w:hAnsi="Times New Roman" w:cs="Times New Roman"/>
        </w:rPr>
        <w:t>that</w:t>
      </w:r>
      <w:r w:rsidRPr="00D014F1">
        <w:rPr>
          <w:rFonts w:ascii="Times New Roman" w:hAnsi="Times New Roman" w:cs="Times New Roman"/>
        </w:rPr>
        <w:t xml:space="preserve"> continuity of care does not have an association with quality of life </w:t>
      </w:r>
      <w:r w:rsidR="002C4AE4">
        <w:rPr>
          <w:rFonts w:ascii="Times New Roman" w:hAnsi="Times New Roman" w:cs="Times New Roman"/>
        </w:rPr>
        <w:t xml:space="preserve">though it did </w:t>
      </w:r>
      <w:r w:rsidR="00A80237">
        <w:rPr>
          <w:rFonts w:ascii="Times New Roman" w:hAnsi="Times New Roman" w:cs="Times New Roman"/>
        </w:rPr>
        <w:t xml:space="preserve">demonstrate </w:t>
      </w:r>
      <w:r w:rsidR="00A80237" w:rsidRPr="00D014F1">
        <w:rPr>
          <w:rFonts w:ascii="Times New Roman" w:hAnsi="Times New Roman" w:cs="Times New Roman"/>
        </w:rPr>
        <w:t>a</w:t>
      </w:r>
      <w:r w:rsidRPr="00D014F1">
        <w:rPr>
          <w:rFonts w:ascii="Times New Roman" w:hAnsi="Times New Roman" w:cs="Times New Roman"/>
        </w:rPr>
        <w:t xml:space="preserve"> positive association between continuity of care and medication adherence </w:t>
      </w:r>
      <w:r w:rsidR="00893B78">
        <w:rPr>
          <w:rFonts w:ascii="Times New Roman" w:hAnsi="Times New Roman" w:cs="Times New Roman"/>
        </w:rPr>
        <w:t>[1,</w:t>
      </w:r>
      <w:r w:rsidRPr="00D014F1">
        <w:rPr>
          <w:rFonts w:ascii="Times New Roman" w:hAnsi="Times New Roman" w:cs="Times New Roman"/>
        </w:rPr>
        <w:t xml:space="preserve">2]. Furthermore, </w:t>
      </w:r>
      <w:r w:rsidR="002C4AE4">
        <w:rPr>
          <w:rFonts w:ascii="Times New Roman" w:hAnsi="Times New Roman" w:cs="Times New Roman"/>
        </w:rPr>
        <w:t xml:space="preserve">a 2017 cross-sectional study found that </w:t>
      </w:r>
      <w:r w:rsidRPr="00D014F1">
        <w:rPr>
          <w:rFonts w:ascii="Times New Roman" w:hAnsi="Times New Roman" w:cs="Times New Roman"/>
        </w:rPr>
        <w:t>patients classified as having a “high” continuity of care appear</w:t>
      </w:r>
      <w:r w:rsidR="002C4AE4">
        <w:rPr>
          <w:rFonts w:ascii="Times New Roman" w:hAnsi="Times New Roman" w:cs="Times New Roman"/>
        </w:rPr>
        <w:t>ed</w:t>
      </w:r>
      <w:r w:rsidRPr="00D014F1">
        <w:rPr>
          <w:rFonts w:ascii="Times New Roman" w:hAnsi="Times New Roman" w:cs="Times New Roman"/>
        </w:rPr>
        <w:t xml:space="preserve"> to experience </w:t>
      </w:r>
      <w:r w:rsidR="002C4AE4">
        <w:rPr>
          <w:rFonts w:ascii="Times New Roman" w:hAnsi="Times New Roman" w:cs="Times New Roman"/>
        </w:rPr>
        <w:t>fewer</w:t>
      </w:r>
      <w:r w:rsidR="002C4AE4" w:rsidRPr="00D014F1">
        <w:rPr>
          <w:rFonts w:ascii="Times New Roman" w:hAnsi="Times New Roman" w:cs="Times New Roman"/>
        </w:rPr>
        <w:t xml:space="preserve"> </w:t>
      </w:r>
      <w:r w:rsidRPr="00D014F1">
        <w:rPr>
          <w:rFonts w:ascii="Times New Roman" w:hAnsi="Times New Roman" w:cs="Times New Roman"/>
        </w:rPr>
        <w:t>hospitalizations in comparison to patients with “low” continuity of care [3</w:t>
      </w:r>
      <w:r w:rsidR="002C4AE4">
        <w:rPr>
          <w:rFonts w:ascii="Times New Roman" w:hAnsi="Times New Roman" w:cs="Times New Roman"/>
        </w:rPr>
        <w:t>]</w:t>
      </w:r>
      <w:r w:rsidRPr="00D014F1">
        <w:rPr>
          <w:rFonts w:ascii="Times New Roman" w:hAnsi="Times New Roman" w:cs="Times New Roman"/>
        </w:rPr>
        <w:t xml:space="preserve">. In other words, while patients with chronic conditions may not experience significant improvements </w:t>
      </w:r>
      <w:r w:rsidR="002C4AE4">
        <w:rPr>
          <w:rFonts w:ascii="Times New Roman" w:hAnsi="Times New Roman" w:cs="Times New Roman"/>
        </w:rPr>
        <w:t xml:space="preserve">in quality of life </w:t>
      </w:r>
      <w:r w:rsidRPr="00D014F1">
        <w:rPr>
          <w:rFonts w:ascii="Times New Roman" w:hAnsi="Times New Roman" w:cs="Times New Roman"/>
        </w:rPr>
        <w:t xml:space="preserve">over time, increased continuity of care with a healthcare provider can </w:t>
      </w:r>
      <w:r w:rsidR="001501CC">
        <w:rPr>
          <w:rFonts w:ascii="Times New Roman" w:hAnsi="Times New Roman" w:cs="Times New Roman"/>
        </w:rPr>
        <w:t xml:space="preserve">enhance </w:t>
      </w:r>
      <w:r w:rsidR="002C4AE4">
        <w:rPr>
          <w:rFonts w:ascii="Times New Roman" w:hAnsi="Times New Roman" w:cs="Times New Roman"/>
        </w:rPr>
        <w:t xml:space="preserve">treatment compliance and </w:t>
      </w:r>
      <w:r w:rsidRPr="00D014F1">
        <w:rPr>
          <w:rFonts w:ascii="Times New Roman" w:hAnsi="Times New Roman" w:cs="Times New Roman"/>
        </w:rPr>
        <w:t xml:space="preserve">decrease the rate of hospitalization. Given these findings, </w:t>
      </w:r>
      <w:r w:rsidR="001501CC">
        <w:rPr>
          <w:rFonts w:ascii="Times New Roman" w:hAnsi="Times New Roman" w:cs="Times New Roman"/>
        </w:rPr>
        <w:t xml:space="preserve">health care providers should work with patients to </w:t>
      </w:r>
      <w:r w:rsidR="001501CC">
        <w:rPr>
          <w:rFonts w:ascii="Times New Roman" w:hAnsi="Times New Roman" w:cs="Times New Roman"/>
        </w:rPr>
        <w:lastRenderedPageBreak/>
        <w:t xml:space="preserve">set appropriate expectations about goals of treatment, with disease management rather than cure oftentimes being the </w:t>
      </w:r>
      <w:r w:rsidR="00B43DF2">
        <w:rPr>
          <w:rFonts w:ascii="Times New Roman" w:hAnsi="Times New Roman" w:cs="Times New Roman"/>
        </w:rPr>
        <w:t>aim</w:t>
      </w:r>
      <w:r w:rsidR="00B371AC">
        <w:rPr>
          <w:rFonts w:ascii="Times New Roman" w:hAnsi="Times New Roman" w:cs="Times New Roman"/>
        </w:rPr>
        <w:t xml:space="preserve">. </w:t>
      </w:r>
    </w:p>
    <w:p w14:paraId="2FF5376F" w14:textId="67328EE1" w:rsidR="00D014F1" w:rsidRPr="00D014F1" w:rsidRDefault="00D014F1" w:rsidP="00893B78">
      <w:pPr>
        <w:spacing w:line="480" w:lineRule="auto"/>
        <w:ind w:firstLine="720"/>
        <w:rPr>
          <w:rFonts w:ascii="Times New Roman" w:hAnsi="Times New Roman" w:cs="Times New Roman"/>
        </w:rPr>
      </w:pPr>
      <w:r w:rsidRPr="00D014F1">
        <w:rPr>
          <w:rFonts w:ascii="Times New Roman" w:hAnsi="Times New Roman" w:cs="Times New Roman"/>
        </w:rPr>
        <w:t>My experiences at the mental health clinic and my academic courses not only challenged my perception of medicine, but the complexity of the cases and lack of</w:t>
      </w:r>
      <w:r w:rsidR="001501CC">
        <w:rPr>
          <w:rFonts w:ascii="Times New Roman" w:hAnsi="Times New Roman" w:cs="Times New Roman"/>
        </w:rPr>
        <w:t xml:space="preserve"> disease</w:t>
      </w:r>
      <w:r w:rsidRPr="00D014F1">
        <w:rPr>
          <w:rFonts w:ascii="Times New Roman" w:hAnsi="Times New Roman" w:cs="Times New Roman"/>
        </w:rPr>
        <w:t xml:space="preserve"> </w:t>
      </w:r>
      <w:r w:rsidR="00A80237" w:rsidRPr="00D014F1">
        <w:rPr>
          <w:rFonts w:ascii="Times New Roman" w:hAnsi="Times New Roman" w:cs="Times New Roman"/>
        </w:rPr>
        <w:t>resolution</w:t>
      </w:r>
      <w:r w:rsidR="00A80237">
        <w:rPr>
          <w:rFonts w:ascii="Times New Roman" w:hAnsi="Times New Roman" w:cs="Times New Roman"/>
        </w:rPr>
        <w:t xml:space="preserve"> </w:t>
      </w:r>
      <w:r w:rsidR="00A80237" w:rsidRPr="00D014F1">
        <w:rPr>
          <w:rFonts w:ascii="Times New Roman" w:hAnsi="Times New Roman" w:cs="Times New Roman"/>
        </w:rPr>
        <w:t>were</w:t>
      </w:r>
      <w:r w:rsidRPr="00D014F1">
        <w:rPr>
          <w:rFonts w:ascii="Times New Roman" w:hAnsi="Times New Roman" w:cs="Times New Roman"/>
        </w:rPr>
        <w:t xml:space="preserve"> essential in my understanding of patient care. Some patients arrive at the clinic with minor symptoms that resolve with little to no medical intervention. </w:t>
      </w:r>
      <w:r w:rsidR="00A80237" w:rsidRPr="00D014F1">
        <w:rPr>
          <w:rFonts w:ascii="Times New Roman" w:hAnsi="Times New Roman" w:cs="Times New Roman"/>
        </w:rPr>
        <w:t xml:space="preserve">However, </w:t>
      </w:r>
      <w:r w:rsidR="00A80237">
        <w:rPr>
          <w:rFonts w:ascii="Times New Roman" w:hAnsi="Times New Roman" w:cs="Times New Roman"/>
        </w:rPr>
        <w:t>often</w:t>
      </w:r>
      <w:r w:rsidR="001501CC" w:rsidRPr="00D014F1">
        <w:rPr>
          <w:rFonts w:ascii="Times New Roman" w:hAnsi="Times New Roman" w:cs="Times New Roman"/>
        </w:rPr>
        <w:t xml:space="preserve"> </w:t>
      </w:r>
      <w:r w:rsidRPr="00D014F1">
        <w:rPr>
          <w:rFonts w:ascii="Times New Roman" w:hAnsi="Times New Roman" w:cs="Times New Roman"/>
        </w:rPr>
        <w:t xml:space="preserve">patients may arrive with symptoms that require an ongoing plan and analysis. Treatment is not static but instead may involve ongoing evaluation over months, years, or </w:t>
      </w:r>
      <w:r w:rsidR="00A80237" w:rsidRPr="00D014F1">
        <w:rPr>
          <w:rFonts w:ascii="Times New Roman" w:hAnsi="Times New Roman" w:cs="Times New Roman"/>
        </w:rPr>
        <w:t xml:space="preserve">even </w:t>
      </w:r>
      <w:r w:rsidR="00A80237">
        <w:rPr>
          <w:rFonts w:ascii="Times New Roman" w:hAnsi="Times New Roman" w:cs="Times New Roman"/>
        </w:rPr>
        <w:t>decades</w:t>
      </w:r>
      <w:r w:rsidRPr="00D014F1">
        <w:rPr>
          <w:rFonts w:ascii="Times New Roman" w:hAnsi="Times New Roman" w:cs="Times New Roman"/>
        </w:rPr>
        <w:t>. This is one of many concerns for the provider, and the detective work involved in the evaluation of the patient’s clinical presentation adds to the importance of providing holistic care and having an ongoing but adaptable plan of care. While the ideal of all healthcare is treatment with full recovery, management of chronic conditions may be more realistic while not overlooking the importance of disease prevention.</w:t>
      </w:r>
    </w:p>
    <w:p w14:paraId="2F078AA5" w14:textId="77777777" w:rsidR="00D014F1" w:rsidRPr="00D014F1" w:rsidRDefault="00D014F1" w:rsidP="00D014F1">
      <w:pPr>
        <w:spacing w:line="480" w:lineRule="auto"/>
        <w:rPr>
          <w:rFonts w:ascii="Times New Roman" w:hAnsi="Times New Roman" w:cs="Times New Roman"/>
          <w:b/>
          <w:bCs/>
          <w:u w:val="single"/>
        </w:rPr>
      </w:pPr>
      <w:r w:rsidRPr="00D014F1">
        <w:rPr>
          <w:rFonts w:ascii="Times New Roman" w:hAnsi="Times New Roman" w:cs="Times New Roman"/>
          <w:b/>
          <w:bCs/>
          <w:u w:val="single"/>
        </w:rPr>
        <w:t>Framing a Clinical Question and Interrogating the Literature</w:t>
      </w:r>
    </w:p>
    <w:p w14:paraId="4F5EBB79" w14:textId="227DDB21"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One of my early experiences in shadowing involved a patient seeking to start semaglutide treatment after consulting their primary care</w:t>
      </w:r>
      <w:r w:rsidR="00066BB0">
        <w:rPr>
          <w:rFonts w:ascii="Times New Roman" w:hAnsi="Times New Roman" w:cs="Times New Roman"/>
        </w:rPr>
        <w:t xml:space="preserve"> provider</w:t>
      </w:r>
      <w:r w:rsidRPr="00D014F1">
        <w:rPr>
          <w:rFonts w:ascii="Times New Roman" w:hAnsi="Times New Roman" w:cs="Times New Roman"/>
        </w:rPr>
        <w:t>. The patient had a history of obesity and type 2 diabetes</w:t>
      </w:r>
      <w:r w:rsidR="00066BB0">
        <w:rPr>
          <w:rFonts w:ascii="Times New Roman" w:hAnsi="Times New Roman" w:cs="Times New Roman"/>
        </w:rPr>
        <w:t xml:space="preserve"> mellitus</w:t>
      </w:r>
      <w:r w:rsidRPr="00D014F1">
        <w:rPr>
          <w:rFonts w:ascii="Times New Roman" w:hAnsi="Times New Roman" w:cs="Times New Roman"/>
        </w:rPr>
        <w:t xml:space="preserve"> </w:t>
      </w:r>
      <w:r w:rsidR="00A80237" w:rsidRPr="00D014F1">
        <w:rPr>
          <w:rFonts w:ascii="Times New Roman" w:hAnsi="Times New Roman" w:cs="Times New Roman"/>
        </w:rPr>
        <w:t xml:space="preserve">which </w:t>
      </w:r>
      <w:r w:rsidR="00C85649">
        <w:rPr>
          <w:rFonts w:ascii="Times New Roman" w:hAnsi="Times New Roman" w:cs="Times New Roman"/>
        </w:rPr>
        <w:t>was</w:t>
      </w:r>
      <w:r w:rsidR="00066BB0" w:rsidRPr="00D014F1">
        <w:rPr>
          <w:rFonts w:ascii="Times New Roman" w:hAnsi="Times New Roman" w:cs="Times New Roman"/>
        </w:rPr>
        <w:t xml:space="preserve"> </w:t>
      </w:r>
      <w:r w:rsidRPr="00D014F1">
        <w:rPr>
          <w:rFonts w:ascii="Times New Roman" w:hAnsi="Times New Roman" w:cs="Times New Roman"/>
        </w:rPr>
        <w:t>managed with metformin and insulin. Despite this prescription regimen, the patient wanted to add semaglutide 2.4 mg</w:t>
      </w:r>
      <w:r w:rsidR="00066BB0">
        <w:rPr>
          <w:rFonts w:ascii="Times New Roman" w:hAnsi="Times New Roman" w:cs="Times New Roman"/>
        </w:rPr>
        <w:t xml:space="preserve"> weekly</w:t>
      </w:r>
      <w:r w:rsidRPr="00D014F1">
        <w:rPr>
          <w:rFonts w:ascii="Times New Roman" w:hAnsi="Times New Roman" w:cs="Times New Roman"/>
        </w:rPr>
        <w:t xml:space="preserve"> (</w:t>
      </w:r>
      <w:r w:rsidR="00066BB0">
        <w:rPr>
          <w:rFonts w:ascii="Times New Roman" w:hAnsi="Times New Roman" w:cs="Times New Roman"/>
        </w:rPr>
        <w:t xml:space="preserve">the </w:t>
      </w:r>
      <w:r w:rsidRPr="00D014F1">
        <w:rPr>
          <w:rFonts w:ascii="Times New Roman" w:hAnsi="Times New Roman" w:cs="Times New Roman"/>
        </w:rPr>
        <w:t>highest FDA</w:t>
      </w:r>
      <w:r w:rsidR="00066BB0">
        <w:rPr>
          <w:rFonts w:ascii="Times New Roman" w:hAnsi="Times New Roman" w:cs="Times New Roman"/>
        </w:rPr>
        <w:t>-</w:t>
      </w:r>
      <w:r w:rsidRPr="00D014F1">
        <w:rPr>
          <w:rFonts w:ascii="Times New Roman" w:hAnsi="Times New Roman" w:cs="Times New Roman"/>
        </w:rPr>
        <w:t xml:space="preserve">approved dose) given frustration with their current medication plan and difficulty achieving weight loss goals. The patient’s primary care provider was currently out of the office, so the provider that I shadowed had the capability to refill or add new prescriptions if necessary. The patient’s reasoning for requesting semaglutide was </w:t>
      </w:r>
      <w:r w:rsidR="00066BB0">
        <w:rPr>
          <w:rFonts w:ascii="Times New Roman" w:hAnsi="Times New Roman" w:cs="Times New Roman"/>
        </w:rPr>
        <w:t>initially unclear</w:t>
      </w:r>
      <w:r w:rsidR="00B371AC">
        <w:rPr>
          <w:rFonts w:ascii="Times New Roman" w:hAnsi="Times New Roman" w:cs="Times New Roman"/>
        </w:rPr>
        <w:t xml:space="preserve">. </w:t>
      </w:r>
      <w:r w:rsidR="00066BB0">
        <w:rPr>
          <w:rFonts w:ascii="Times New Roman" w:hAnsi="Times New Roman" w:cs="Times New Roman"/>
        </w:rPr>
        <w:t>H</w:t>
      </w:r>
      <w:r w:rsidRPr="00D014F1">
        <w:rPr>
          <w:rFonts w:ascii="Times New Roman" w:hAnsi="Times New Roman" w:cs="Times New Roman"/>
        </w:rPr>
        <w:t>owever</w:t>
      </w:r>
      <w:r w:rsidR="00066BB0">
        <w:rPr>
          <w:rFonts w:ascii="Times New Roman" w:hAnsi="Times New Roman" w:cs="Times New Roman"/>
        </w:rPr>
        <w:t>,</w:t>
      </w:r>
      <w:r w:rsidRPr="00D014F1">
        <w:rPr>
          <w:rFonts w:ascii="Times New Roman" w:hAnsi="Times New Roman" w:cs="Times New Roman"/>
        </w:rPr>
        <w:t xml:space="preserve"> given the </w:t>
      </w:r>
      <w:r w:rsidRPr="00D014F1">
        <w:rPr>
          <w:rFonts w:ascii="Times New Roman" w:hAnsi="Times New Roman" w:cs="Times New Roman"/>
        </w:rPr>
        <w:lastRenderedPageBreak/>
        <w:t>popularity and seemingly high success rates of semaglutides</w:t>
      </w:r>
      <w:r w:rsidR="00066BB0">
        <w:rPr>
          <w:rFonts w:ascii="Times New Roman" w:hAnsi="Times New Roman" w:cs="Times New Roman"/>
        </w:rPr>
        <w:t xml:space="preserve"> in achieving weight loss</w:t>
      </w:r>
      <w:r w:rsidRPr="00D014F1">
        <w:rPr>
          <w:rFonts w:ascii="Times New Roman" w:hAnsi="Times New Roman" w:cs="Times New Roman"/>
        </w:rPr>
        <w:t>, this patient may have believed that they would see substantial results from starting this new prescription</w:t>
      </w:r>
      <w:r w:rsidR="00B371AC" w:rsidRPr="00D014F1">
        <w:rPr>
          <w:rFonts w:ascii="Times New Roman" w:hAnsi="Times New Roman" w:cs="Times New Roman"/>
        </w:rPr>
        <w:t xml:space="preserve">. </w:t>
      </w:r>
    </w:p>
    <w:p w14:paraId="004B0181" w14:textId="07EC03E8" w:rsidR="00D014F1" w:rsidRPr="00D014F1" w:rsidRDefault="00D014F1" w:rsidP="0080192C">
      <w:pPr>
        <w:spacing w:line="480" w:lineRule="auto"/>
        <w:ind w:firstLine="720"/>
        <w:rPr>
          <w:rFonts w:ascii="Times New Roman" w:hAnsi="Times New Roman" w:cs="Times New Roman"/>
        </w:rPr>
      </w:pPr>
      <w:r w:rsidRPr="00D014F1">
        <w:rPr>
          <w:rFonts w:ascii="Times New Roman" w:hAnsi="Times New Roman" w:cs="Times New Roman"/>
        </w:rPr>
        <w:t>This experience piqued my interest in the use of semaglutide</w:t>
      </w:r>
      <w:r w:rsidR="00C85649">
        <w:rPr>
          <w:rFonts w:ascii="Times New Roman" w:hAnsi="Times New Roman" w:cs="Times New Roman"/>
        </w:rPr>
        <w:t>s</w:t>
      </w:r>
      <w:r w:rsidRPr="00D014F1">
        <w:rPr>
          <w:rFonts w:ascii="Times New Roman" w:hAnsi="Times New Roman" w:cs="Times New Roman"/>
        </w:rPr>
        <w:t xml:space="preserve"> and similar class drugs as treatment for weight loss. Given how popular semaglutide</w:t>
      </w:r>
      <w:r w:rsidR="0080192C">
        <w:rPr>
          <w:rFonts w:ascii="Times New Roman" w:hAnsi="Times New Roman" w:cs="Times New Roman"/>
        </w:rPr>
        <w:t>s have</w:t>
      </w:r>
      <w:r w:rsidRPr="00D014F1">
        <w:rPr>
          <w:rFonts w:ascii="Times New Roman" w:hAnsi="Times New Roman" w:cs="Times New Roman"/>
        </w:rPr>
        <w:t xml:space="preserve"> become in recent years, I questioned </w:t>
      </w:r>
      <w:r w:rsidR="0080192C">
        <w:rPr>
          <w:rFonts w:ascii="Times New Roman" w:hAnsi="Times New Roman" w:cs="Times New Roman"/>
        </w:rPr>
        <w:t xml:space="preserve">the </w:t>
      </w:r>
      <w:r w:rsidRPr="00D014F1">
        <w:rPr>
          <w:rFonts w:ascii="Times New Roman" w:hAnsi="Times New Roman" w:cs="Times New Roman"/>
        </w:rPr>
        <w:t xml:space="preserve">possible adverse effects of these drugs and whether chronic use resulted in </w:t>
      </w:r>
      <w:r w:rsidR="00A80237" w:rsidRPr="00D014F1">
        <w:rPr>
          <w:rFonts w:ascii="Times New Roman" w:hAnsi="Times New Roman" w:cs="Times New Roman"/>
        </w:rPr>
        <w:t xml:space="preserve">any </w:t>
      </w:r>
      <w:r w:rsidR="00A80237">
        <w:rPr>
          <w:rFonts w:ascii="Times New Roman" w:hAnsi="Times New Roman" w:cs="Times New Roman"/>
        </w:rPr>
        <w:t>clinically</w:t>
      </w:r>
      <w:r w:rsidR="00E647E7">
        <w:rPr>
          <w:rFonts w:ascii="Times New Roman" w:hAnsi="Times New Roman" w:cs="Times New Roman"/>
        </w:rPr>
        <w:t xml:space="preserve"> significant</w:t>
      </w:r>
      <w:r w:rsidRPr="00D014F1">
        <w:rPr>
          <w:rFonts w:ascii="Times New Roman" w:hAnsi="Times New Roman" w:cs="Times New Roman"/>
        </w:rPr>
        <w:t xml:space="preserve"> complications. Semaglutide is a glucagon-like peptide-1 receptor agonist</w:t>
      </w:r>
      <w:r w:rsidR="00E647E7">
        <w:rPr>
          <w:rFonts w:ascii="Times New Roman" w:hAnsi="Times New Roman" w:cs="Times New Roman"/>
        </w:rPr>
        <w:t xml:space="preserve"> (</w:t>
      </w:r>
      <w:r w:rsidRPr="00D014F1">
        <w:rPr>
          <w:rFonts w:ascii="Times New Roman" w:hAnsi="Times New Roman" w:cs="Times New Roman"/>
        </w:rPr>
        <w:t xml:space="preserve">GLP-1 RA), a recently FDA-approved class of drugs used in the treatment of type 2 diabetes mellitus (DM) and obesity. While the popularity of GLP-1 RAs has increased exponentially since their approval 9 years ago, the adverse effects produced by long-term GLP-1 </w:t>
      </w:r>
      <w:r w:rsidR="00E647E7">
        <w:rPr>
          <w:rFonts w:ascii="Times New Roman" w:hAnsi="Times New Roman" w:cs="Times New Roman"/>
        </w:rPr>
        <w:t xml:space="preserve">RA </w:t>
      </w:r>
      <w:r w:rsidRPr="00D014F1">
        <w:rPr>
          <w:rFonts w:ascii="Times New Roman" w:hAnsi="Times New Roman" w:cs="Times New Roman"/>
        </w:rPr>
        <w:t xml:space="preserve">use have not been substantially explored. </w:t>
      </w:r>
      <w:r w:rsidR="00E647E7">
        <w:rPr>
          <w:rFonts w:ascii="Times New Roman" w:hAnsi="Times New Roman" w:cs="Times New Roman"/>
        </w:rPr>
        <w:t xml:space="preserve">I wondered, </w:t>
      </w:r>
      <w:r w:rsidRPr="00D014F1">
        <w:rPr>
          <w:rFonts w:ascii="Times New Roman" w:hAnsi="Times New Roman" w:cs="Times New Roman"/>
        </w:rPr>
        <w:t>“Were GLP-1 RAs a ‘magic pill’, or did the drug’s efficacy overshadow the possible adverse effects?” According to a recent study, 50% of adults with type 2 diabetes have delayed gastric emptying</w:t>
      </w:r>
      <w:r w:rsidR="00B371AC">
        <w:rPr>
          <w:rFonts w:ascii="Times New Roman" w:hAnsi="Times New Roman" w:cs="Times New Roman"/>
        </w:rPr>
        <w:t xml:space="preserve">, </w:t>
      </w:r>
      <w:r w:rsidRPr="00D014F1">
        <w:rPr>
          <w:rFonts w:ascii="Times New Roman" w:hAnsi="Times New Roman" w:cs="Times New Roman"/>
        </w:rPr>
        <w:t xml:space="preserve">although only 1% of adults with type 2 diabetes are diagnosed with clinical gastroparesis, a condition whereby the </w:t>
      </w:r>
      <w:r w:rsidR="00287EC4">
        <w:rPr>
          <w:rFonts w:ascii="Times New Roman" w:hAnsi="Times New Roman" w:cs="Times New Roman"/>
        </w:rPr>
        <w:t>neuropathy induced by poor diabetes control leads to</w:t>
      </w:r>
      <w:r w:rsidR="00BC1D75">
        <w:rPr>
          <w:rFonts w:ascii="Times New Roman" w:hAnsi="Times New Roman" w:cs="Times New Roman"/>
        </w:rPr>
        <w:t xml:space="preserve"> improper functioning of the </w:t>
      </w:r>
      <w:r w:rsidRPr="00D014F1">
        <w:rPr>
          <w:rFonts w:ascii="Times New Roman" w:hAnsi="Times New Roman" w:cs="Times New Roman"/>
        </w:rPr>
        <w:t xml:space="preserve">stomach musculature </w:t>
      </w:r>
      <w:r w:rsidR="00BC1D75">
        <w:rPr>
          <w:rFonts w:ascii="Times New Roman" w:hAnsi="Times New Roman" w:cs="Times New Roman"/>
        </w:rPr>
        <w:t>and subsequent</w:t>
      </w:r>
      <w:r w:rsidRPr="00D014F1">
        <w:rPr>
          <w:rFonts w:ascii="Times New Roman" w:hAnsi="Times New Roman" w:cs="Times New Roman"/>
        </w:rPr>
        <w:t xml:space="preserve"> delayed gastric emptying [</w:t>
      </w:r>
      <w:r w:rsidR="00E647E7">
        <w:rPr>
          <w:rFonts w:ascii="Times New Roman" w:hAnsi="Times New Roman" w:cs="Times New Roman"/>
        </w:rPr>
        <w:t xml:space="preserve">4, </w:t>
      </w:r>
      <w:r w:rsidRPr="00D014F1">
        <w:rPr>
          <w:rFonts w:ascii="Times New Roman" w:hAnsi="Times New Roman" w:cs="Times New Roman"/>
        </w:rPr>
        <w:t xml:space="preserve">5]. GLP-1 RAs are known to </w:t>
      </w:r>
      <w:r w:rsidR="00E647E7">
        <w:rPr>
          <w:rFonts w:ascii="Times New Roman" w:hAnsi="Times New Roman" w:cs="Times New Roman"/>
        </w:rPr>
        <w:t xml:space="preserve">not only </w:t>
      </w:r>
      <w:r w:rsidRPr="00D014F1">
        <w:rPr>
          <w:rFonts w:ascii="Times New Roman" w:hAnsi="Times New Roman" w:cs="Times New Roman"/>
        </w:rPr>
        <w:t xml:space="preserve">enhance insulin secretion </w:t>
      </w:r>
      <w:r w:rsidR="00E647E7">
        <w:rPr>
          <w:rFonts w:ascii="Times New Roman" w:hAnsi="Times New Roman" w:cs="Times New Roman"/>
        </w:rPr>
        <w:t xml:space="preserve">but </w:t>
      </w:r>
      <w:r w:rsidR="00A80237">
        <w:rPr>
          <w:rFonts w:ascii="Times New Roman" w:hAnsi="Times New Roman" w:cs="Times New Roman"/>
        </w:rPr>
        <w:t xml:space="preserve">also </w:t>
      </w:r>
      <w:r w:rsidR="00A80237" w:rsidRPr="00D014F1">
        <w:rPr>
          <w:rFonts w:ascii="Times New Roman" w:hAnsi="Times New Roman" w:cs="Times New Roman"/>
        </w:rPr>
        <w:t>slow</w:t>
      </w:r>
      <w:r w:rsidRPr="00D014F1">
        <w:rPr>
          <w:rFonts w:ascii="Times New Roman" w:hAnsi="Times New Roman" w:cs="Times New Roman"/>
        </w:rPr>
        <w:t xml:space="preserve"> gastrointestinal motility and</w:t>
      </w:r>
      <w:r w:rsidR="00E647E7">
        <w:rPr>
          <w:rFonts w:ascii="Times New Roman" w:hAnsi="Times New Roman" w:cs="Times New Roman"/>
        </w:rPr>
        <w:t>,</w:t>
      </w:r>
      <w:r w:rsidRPr="00D014F1">
        <w:rPr>
          <w:rFonts w:ascii="Times New Roman" w:hAnsi="Times New Roman" w:cs="Times New Roman"/>
        </w:rPr>
        <w:t xml:space="preserve"> therefore</w:t>
      </w:r>
      <w:r w:rsidR="00E647E7">
        <w:rPr>
          <w:rFonts w:ascii="Times New Roman" w:hAnsi="Times New Roman" w:cs="Times New Roman"/>
        </w:rPr>
        <w:t>,</w:t>
      </w:r>
      <w:r w:rsidRPr="00D014F1">
        <w:rPr>
          <w:rFonts w:ascii="Times New Roman" w:hAnsi="Times New Roman" w:cs="Times New Roman"/>
        </w:rPr>
        <w:t xml:space="preserve"> if used in the setting of DM, there is concern for the possible exacerbation of </w:t>
      </w:r>
      <w:r w:rsidR="00E647E7">
        <w:rPr>
          <w:rFonts w:ascii="Times New Roman" w:hAnsi="Times New Roman" w:cs="Times New Roman"/>
        </w:rPr>
        <w:t xml:space="preserve">existing </w:t>
      </w:r>
      <w:r w:rsidRPr="00D014F1">
        <w:rPr>
          <w:rFonts w:ascii="Times New Roman" w:hAnsi="Times New Roman" w:cs="Times New Roman"/>
        </w:rPr>
        <w:t>or new-onset of gastroparesis. To investigate this concern, I developed a question using the PICO (Patient/Problem, Intervention, Comparison, Outcome) format, a strategy used to effectively develop a question and guide</w:t>
      </w:r>
      <w:r w:rsidR="00371C8B">
        <w:rPr>
          <w:rFonts w:ascii="Times New Roman" w:hAnsi="Times New Roman" w:cs="Times New Roman"/>
        </w:rPr>
        <w:t xml:space="preserve"> the </w:t>
      </w:r>
      <w:r w:rsidR="00371C8B" w:rsidRPr="00D014F1">
        <w:rPr>
          <w:rFonts w:ascii="Times New Roman" w:hAnsi="Times New Roman" w:cs="Times New Roman"/>
        </w:rPr>
        <w:t xml:space="preserve">search </w:t>
      </w:r>
      <w:r w:rsidRPr="00D014F1">
        <w:rPr>
          <w:rFonts w:ascii="Times New Roman" w:hAnsi="Times New Roman" w:cs="Times New Roman"/>
        </w:rPr>
        <w:t xml:space="preserve">for evidence. As such, my research began with the following question: “Among patients with type 2 diabetes mellitus, is the administration of semaglutide compared to standard of </w:t>
      </w:r>
      <w:r w:rsidR="00B371AC">
        <w:rPr>
          <w:rFonts w:ascii="Times New Roman" w:hAnsi="Times New Roman" w:cs="Times New Roman"/>
        </w:rPr>
        <w:t xml:space="preserve">care associated </w:t>
      </w:r>
      <w:r w:rsidRPr="00D014F1">
        <w:rPr>
          <w:rFonts w:ascii="Times New Roman" w:hAnsi="Times New Roman" w:cs="Times New Roman"/>
        </w:rPr>
        <w:t>with an increased risk of gastroparesis?</w:t>
      </w:r>
      <w:r w:rsidR="00E647E7">
        <w:rPr>
          <w:rFonts w:ascii="Times New Roman" w:hAnsi="Times New Roman" w:cs="Times New Roman"/>
        </w:rPr>
        <w:t>”</w:t>
      </w:r>
    </w:p>
    <w:p w14:paraId="58855E98" w14:textId="0A546AB1" w:rsidR="00D014F1" w:rsidRPr="00D014F1" w:rsidRDefault="0080192C" w:rsidP="00D014F1">
      <w:pPr>
        <w:spacing w:line="480" w:lineRule="auto"/>
        <w:ind w:firstLine="720"/>
        <w:rPr>
          <w:rFonts w:ascii="Times New Roman" w:hAnsi="Times New Roman" w:cs="Times New Roman"/>
        </w:rPr>
      </w:pPr>
      <w:r>
        <w:rPr>
          <w:rFonts w:ascii="Times New Roman" w:hAnsi="Times New Roman" w:cs="Times New Roman"/>
        </w:rPr>
        <w:lastRenderedPageBreak/>
        <w:t>On my initial investigation,</w:t>
      </w:r>
      <w:r w:rsidR="00D014F1" w:rsidRPr="00D014F1">
        <w:rPr>
          <w:rFonts w:ascii="Times New Roman" w:hAnsi="Times New Roman" w:cs="Times New Roman"/>
        </w:rPr>
        <w:t xml:space="preserve"> I interrogated the literature from a broad perspective and analyzed the overall efficacy of GLP-1 RAs. In a 2024 systemic review, 71 individuals (both with and without Type 2 DM) over the course of 3 years lost 4.81 kg (10.60 lbs</w:t>
      </w:r>
      <w:r w:rsidR="00E647E7">
        <w:rPr>
          <w:rFonts w:ascii="Times New Roman" w:hAnsi="Times New Roman" w:cs="Times New Roman"/>
        </w:rPr>
        <w:t>.</w:t>
      </w:r>
      <w:r w:rsidR="00D014F1" w:rsidRPr="00D014F1">
        <w:rPr>
          <w:rFonts w:ascii="Times New Roman" w:hAnsi="Times New Roman" w:cs="Times New Roman"/>
        </w:rPr>
        <w:t xml:space="preserve">) from semaglutide injections and </w:t>
      </w:r>
      <w:r w:rsidR="00CF6784" w:rsidRPr="00CF6784">
        <w:rPr>
          <w:rFonts w:ascii="Times New Roman" w:hAnsi="Times New Roman" w:cs="Times New Roman"/>
        </w:rPr>
        <w:t xml:space="preserve">3.64 </w:t>
      </w:r>
      <w:r w:rsidR="00D014F1" w:rsidRPr="00D014F1">
        <w:rPr>
          <w:rFonts w:ascii="Times New Roman" w:hAnsi="Times New Roman" w:cs="Times New Roman"/>
        </w:rPr>
        <w:t>kg (8.02 lbs</w:t>
      </w:r>
      <w:r w:rsidR="00E647E7">
        <w:rPr>
          <w:rFonts w:ascii="Times New Roman" w:hAnsi="Times New Roman" w:cs="Times New Roman"/>
        </w:rPr>
        <w:t>.</w:t>
      </w:r>
      <w:r w:rsidR="00D014F1" w:rsidRPr="00D014F1">
        <w:rPr>
          <w:rFonts w:ascii="Times New Roman" w:hAnsi="Times New Roman" w:cs="Times New Roman"/>
        </w:rPr>
        <w:t xml:space="preserve">) from oral tablets [6]. Additionally, 1892 individuals with diabetes were found to have a </w:t>
      </w:r>
      <w:r w:rsidR="0085026D">
        <w:rPr>
          <w:rFonts w:ascii="Times New Roman" w:hAnsi="Times New Roman" w:cs="Times New Roman"/>
        </w:rPr>
        <w:t xml:space="preserve"> change from baseline </w:t>
      </w:r>
      <w:r w:rsidR="00D014F1" w:rsidRPr="00D014F1">
        <w:rPr>
          <w:rFonts w:ascii="Times New Roman" w:hAnsi="Times New Roman" w:cs="Times New Roman"/>
        </w:rPr>
        <w:t xml:space="preserve"> HbA1c </w:t>
      </w:r>
      <w:r w:rsidR="00CF6784" w:rsidRPr="00CF6784">
        <w:rPr>
          <w:rFonts w:ascii="Times New Roman" w:hAnsi="Times New Roman" w:cs="Times New Roman"/>
        </w:rPr>
        <w:t xml:space="preserve">of -0.75%, </w:t>
      </w:r>
      <w:r w:rsidR="00D014F1" w:rsidRPr="00D014F1">
        <w:rPr>
          <w:rFonts w:ascii="Times New Roman" w:hAnsi="Times New Roman" w:cs="Times New Roman"/>
        </w:rPr>
        <w:t xml:space="preserve">which was greatest within the first 9 months of use before eventually rebounding to baseline over the following succeeding months. Participants on injectable semaglutide use had larger average changes </w:t>
      </w:r>
      <w:r w:rsidR="003D6926">
        <w:rPr>
          <w:rFonts w:ascii="Times New Roman" w:hAnsi="Times New Roman" w:cs="Times New Roman"/>
        </w:rPr>
        <w:t xml:space="preserve">in HbA1c </w:t>
      </w:r>
      <w:r w:rsidR="00D014F1" w:rsidRPr="00D014F1">
        <w:rPr>
          <w:rFonts w:ascii="Times New Roman" w:hAnsi="Times New Roman" w:cs="Times New Roman"/>
        </w:rPr>
        <w:t xml:space="preserve">(–0.78%) in comparison to those on oral tablets (-0.56%). Moreover, 133 participants in the study had a diagnosis of gastroparesis with 32 reporting a new onset of the condition. This study suggests that GLP-1 RAs effectively reduce weight and HbA1c; however, injectable GLP-1 </w:t>
      </w:r>
      <w:r w:rsidR="00993AD5">
        <w:rPr>
          <w:rFonts w:ascii="Times New Roman" w:hAnsi="Times New Roman" w:cs="Times New Roman"/>
        </w:rPr>
        <w:t xml:space="preserve">RA </w:t>
      </w:r>
      <w:r w:rsidR="00D014F1" w:rsidRPr="00D014F1">
        <w:rPr>
          <w:rFonts w:ascii="Times New Roman" w:hAnsi="Times New Roman" w:cs="Times New Roman"/>
        </w:rPr>
        <w:t xml:space="preserve">use may promote the new onset of adverse effects, including gastroparesis. </w:t>
      </w:r>
    </w:p>
    <w:p w14:paraId="0F8AD7EC" w14:textId="2F2FE99B"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Ultimately, my PICO question is whether patients with type 2 diabetes mellitus have increased risk for gastroparesis while taking semaglutides in comparison to standard of care. The prior studies discussed demonstrate </w:t>
      </w:r>
      <w:r w:rsidR="009549FF" w:rsidRPr="00D014F1">
        <w:rPr>
          <w:rFonts w:ascii="Times New Roman" w:hAnsi="Times New Roman" w:cs="Times New Roman"/>
        </w:rPr>
        <w:t xml:space="preserve">that </w:t>
      </w:r>
      <w:r w:rsidR="009549FF">
        <w:rPr>
          <w:rFonts w:ascii="Times New Roman" w:hAnsi="Times New Roman" w:cs="Times New Roman"/>
        </w:rPr>
        <w:t>among</w:t>
      </w:r>
      <w:r w:rsidR="003D6926">
        <w:rPr>
          <w:rFonts w:ascii="Times New Roman" w:hAnsi="Times New Roman" w:cs="Times New Roman"/>
        </w:rPr>
        <w:t xml:space="preserve"> patients with type 2 DM</w:t>
      </w:r>
      <w:r w:rsidRPr="00D014F1">
        <w:rPr>
          <w:rFonts w:ascii="Times New Roman" w:hAnsi="Times New Roman" w:cs="Times New Roman"/>
        </w:rPr>
        <w:t xml:space="preserve">, semaglutides in </w:t>
      </w:r>
      <w:r w:rsidR="003D6926">
        <w:rPr>
          <w:rFonts w:ascii="Times New Roman" w:hAnsi="Times New Roman" w:cs="Times New Roman"/>
        </w:rPr>
        <w:t>conjunction</w:t>
      </w:r>
      <w:r w:rsidR="003D6926" w:rsidRPr="00D014F1">
        <w:rPr>
          <w:rFonts w:ascii="Times New Roman" w:hAnsi="Times New Roman" w:cs="Times New Roman"/>
        </w:rPr>
        <w:t xml:space="preserve"> </w:t>
      </w:r>
      <w:r w:rsidRPr="00D014F1">
        <w:rPr>
          <w:rFonts w:ascii="Times New Roman" w:hAnsi="Times New Roman" w:cs="Times New Roman"/>
        </w:rPr>
        <w:t>with primary standard of care</w:t>
      </w:r>
      <w:r w:rsidR="003D6926">
        <w:rPr>
          <w:rFonts w:ascii="Times New Roman" w:hAnsi="Times New Roman" w:cs="Times New Roman"/>
        </w:rPr>
        <w:t xml:space="preserve"> for DM</w:t>
      </w:r>
      <w:r w:rsidRPr="00D014F1">
        <w:rPr>
          <w:rFonts w:ascii="Times New Roman" w:hAnsi="Times New Roman" w:cs="Times New Roman"/>
        </w:rPr>
        <w:t xml:space="preserve"> improve weight management and HbA1c, with the </w:t>
      </w:r>
      <w:r w:rsidR="00CF6784" w:rsidRPr="00CF6784">
        <w:rPr>
          <w:rFonts w:ascii="Times New Roman" w:hAnsi="Times New Roman" w:cs="Times New Roman"/>
        </w:rPr>
        <w:t>possible</w:t>
      </w:r>
      <w:r w:rsidR="003D6926">
        <w:rPr>
          <w:rFonts w:ascii="Times New Roman" w:hAnsi="Times New Roman" w:cs="Times New Roman"/>
        </w:rPr>
        <w:t xml:space="preserve"> </w:t>
      </w:r>
      <w:r w:rsidRPr="00D014F1">
        <w:rPr>
          <w:rFonts w:ascii="Times New Roman" w:hAnsi="Times New Roman" w:cs="Times New Roman"/>
        </w:rPr>
        <w:t xml:space="preserve">tradeoff of increased risk of an adverse GI effect. In a 2014 clinical trial, 388 patients with type 2 DM received one weekly dose of semaglutide (0.5 mg or 1.0 mg) or placebo as a monotherapy for 30 weeks. To mitigate uncontrolled glucose levels, patients were chosen after managing DM with diet and exercise alone for 30 days [7]. Results of the clinical trial show that semaglutide, while effective at reducing BMI and HbA1c, was associated with more reported adverse GI events among individuals receiving active drug than among those receiving placebo. Nausea was the most common event reported with </w:t>
      </w:r>
      <w:r w:rsidR="00C86417">
        <w:rPr>
          <w:rFonts w:ascii="Times New Roman" w:hAnsi="Times New Roman" w:cs="Times New Roman"/>
        </w:rPr>
        <w:t xml:space="preserve">the </w:t>
      </w:r>
      <w:r w:rsidRPr="00D014F1">
        <w:rPr>
          <w:rFonts w:ascii="Times New Roman" w:hAnsi="Times New Roman" w:cs="Times New Roman"/>
        </w:rPr>
        <w:t xml:space="preserve">0.5 mg semaglutide (20%) and 1.0 mg semaglutide (24%) treatment groups. As mentioned previously, nausea and vomiting are </w:t>
      </w:r>
      <w:r w:rsidRPr="00D014F1">
        <w:rPr>
          <w:rFonts w:ascii="Times New Roman" w:hAnsi="Times New Roman" w:cs="Times New Roman"/>
        </w:rPr>
        <w:lastRenderedPageBreak/>
        <w:t xml:space="preserve">common symptoms of gastroparesis, although it is not possible to attribute the adverse events reported in this trial as a definitive symptom of gastroparesis. Notably, adverse GI events were reported in less than half of any adverse events </w:t>
      </w:r>
      <w:r w:rsidR="00C86417">
        <w:rPr>
          <w:rFonts w:ascii="Times New Roman" w:hAnsi="Times New Roman" w:cs="Times New Roman"/>
        </w:rPr>
        <w:t>among the</w:t>
      </w:r>
      <w:r w:rsidR="00C86417" w:rsidRPr="00D014F1">
        <w:rPr>
          <w:rFonts w:ascii="Times New Roman" w:hAnsi="Times New Roman" w:cs="Times New Roman"/>
        </w:rPr>
        <w:t xml:space="preserve"> </w:t>
      </w:r>
      <w:r w:rsidRPr="00D014F1">
        <w:rPr>
          <w:rFonts w:ascii="Times New Roman" w:hAnsi="Times New Roman" w:cs="Times New Roman"/>
        </w:rPr>
        <w:t xml:space="preserve">0.5 mg semaglutide (38%), 1.0 mg semaglutide (38%), and placebo (19%) groups. Therefore, from the research that I compiled, it is likely that semaglutide treatments may increase the rate of adverse GI events, </w:t>
      </w:r>
      <w:r w:rsidR="009549FF">
        <w:rPr>
          <w:rFonts w:ascii="Times New Roman" w:hAnsi="Times New Roman" w:cs="Times New Roman"/>
        </w:rPr>
        <w:t>presumably</w:t>
      </w:r>
      <w:r w:rsidR="00C86417" w:rsidRPr="00D014F1">
        <w:rPr>
          <w:rFonts w:ascii="Times New Roman" w:hAnsi="Times New Roman" w:cs="Times New Roman"/>
        </w:rPr>
        <w:t xml:space="preserve"> </w:t>
      </w:r>
      <w:r w:rsidRPr="00D014F1">
        <w:rPr>
          <w:rFonts w:ascii="Times New Roman" w:hAnsi="Times New Roman" w:cs="Times New Roman"/>
        </w:rPr>
        <w:t xml:space="preserve">due to its primary mechanism of action on the GI system </w:t>
      </w:r>
      <w:r w:rsidR="00C86417">
        <w:rPr>
          <w:rFonts w:ascii="Times New Roman" w:hAnsi="Times New Roman" w:cs="Times New Roman"/>
        </w:rPr>
        <w:t xml:space="preserve">that leads to a </w:t>
      </w:r>
      <w:r w:rsidRPr="00D014F1">
        <w:rPr>
          <w:rFonts w:ascii="Times New Roman" w:hAnsi="Times New Roman" w:cs="Times New Roman"/>
        </w:rPr>
        <w:t>slowing</w:t>
      </w:r>
      <w:r w:rsidR="00C86417">
        <w:rPr>
          <w:rFonts w:ascii="Times New Roman" w:hAnsi="Times New Roman" w:cs="Times New Roman"/>
        </w:rPr>
        <w:t xml:space="preserve"> of</w:t>
      </w:r>
      <w:r w:rsidRPr="00D014F1">
        <w:rPr>
          <w:rFonts w:ascii="Times New Roman" w:hAnsi="Times New Roman" w:cs="Times New Roman"/>
        </w:rPr>
        <w:t xml:space="preserve"> gastric emptying. </w:t>
      </w:r>
      <w:r w:rsidR="00B3523E">
        <w:rPr>
          <w:rFonts w:ascii="Times New Roman" w:hAnsi="Times New Roman" w:cs="Times New Roman"/>
        </w:rPr>
        <w:t>Whether they are associated definitively with an increase</w:t>
      </w:r>
      <w:r w:rsidR="001F1AB4">
        <w:rPr>
          <w:rFonts w:ascii="Times New Roman" w:hAnsi="Times New Roman" w:cs="Times New Roman"/>
        </w:rPr>
        <w:t xml:space="preserve">d rate of clinical gastroparesis, </w:t>
      </w:r>
      <w:r w:rsidR="00893B78">
        <w:rPr>
          <w:rFonts w:ascii="Times New Roman" w:hAnsi="Times New Roman" w:cs="Times New Roman"/>
        </w:rPr>
        <w:t>though, cannot</w:t>
      </w:r>
      <w:r w:rsidR="001F1AB4">
        <w:rPr>
          <w:rFonts w:ascii="Times New Roman" w:hAnsi="Times New Roman" w:cs="Times New Roman"/>
        </w:rPr>
        <w:t xml:space="preserve"> be deduced from these studies.</w:t>
      </w:r>
    </w:p>
    <w:p w14:paraId="5C8A2D68" w14:textId="67F18C3A"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One final aspect of </w:t>
      </w:r>
      <w:r w:rsidR="009549FF" w:rsidRPr="00D014F1">
        <w:rPr>
          <w:rFonts w:ascii="Times New Roman" w:hAnsi="Times New Roman" w:cs="Times New Roman"/>
        </w:rPr>
        <w:t>this</w:t>
      </w:r>
      <w:r w:rsidR="00C86417">
        <w:rPr>
          <w:rFonts w:ascii="Times New Roman" w:hAnsi="Times New Roman" w:cs="Times New Roman"/>
        </w:rPr>
        <w:t xml:space="preserve"> issue</w:t>
      </w:r>
      <w:r w:rsidRPr="00D014F1">
        <w:rPr>
          <w:rFonts w:ascii="Times New Roman" w:hAnsi="Times New Roman" w:cs="Times New Roman"/>
        </w:rPr>
        <w:t xml:space="preserve"> that I wished to explore were </w:t>
      </w:r>
      <w:r w:rsidR="00C86417">
        <w:rPr>
          <w:rFonts w:ascii="Times New Roman" w:hAnsi="Times New Roman" w:cs="Times New Roman"/>
        </w:rPr>
        <w:t xml:space="preserve">specific </w:t>
      </w:r>
      <w:r w:rsidRPr="00D014F1">
        <w:rPr>
          <w:rFonts w:ascii="Times New Roman" w:hAnsi="Times New Roman" w:cs="Times New Roman"/>
        </w:rPr>
        <w:t>semaglutide dosages and</w:t>
      </w:r>
      <w:r w:rsidR="00C86417">
        <w:rPr>
          <w:rFonts w:ascii="Times New Roman" w:hAnsi="Times New Roman" w:cs="Times New Roman"/>
        </w:rPr>
        <w:t xml:space="preserve"> their association with</w:t>
      </w:r>
      <w:r w:rsidRPr="00D014F1">
        <w:rPr>
          <w:rFonts w:ascii="Times New Roman" w:hAnsi="Times New Roman" w:cs="Times New Roman"/>
        </w:rPr>
        <w:t xml:space="preserve"> adverse events. While loosely </w:t>
      </w:r>
      <w:r w:rsidR="009549FF" w:rsidRPr="00D014F1">
        <w:rPr>
          <w:rFonts w:ascii="Times New Roman" w:hAnsi="Times New Roman" w:cs="Times New Roman"/>
        </w:rPr>
        <w:t xml:space="preserve">related </w:t>
      </w:r>
      <w:r w:rsidR="009549FF">
        <w:rPr>
          <w:rFonts w:ascii="Times New Roman" w:hAnsi="Times New Roman" w:cs="Times New Roman"/>
        </w:rPr>
        <w:t>to</w:t>
      </w:r>
      <w:r w:rsidR="00C86417">
        <w:rPr>
          <w:rFonts w:ascii="Times New Roman" w:hAnsi="Times New Roman" w:cs="Times New Roman"/>
        </w:rPr>
        <w:t xml:space="preserve"> my primary query</w:t>
      </w:r>
      <w:r w:rsidRPr="00D014F1">
        <w:rPr>
          <w:rFonts w:ascii="Times New Roman" w:hAnsi="Times New Roman" w:cs="Times New Roman"/>
        </w:rPr>
        <w:t>, I believe it is necessary to account for the varying dosages of semaglutides given their growing use in DM treatmen</w:t>
      </w:r>
      <w:r w:rsidR="009549FF">
        <w:rPr>
          <w:rFonts w:ascii="Times New Roman" w:hAnsi="Times New Roman" w:cs="Times New Roman"/>
        </w:rPr>
        <w:t>t. The most popular FDA-approved semaglutides are Ozempic and Wegovy, although both medications are virtually the same.</w:t>
      </w:r>
      <w:r w:rsidR="00C85649">
        <w:rPr>
          <w:rFonts w:ascii="Times New Roman" w:hAnsi="Times New Roman" w:cs="Times New Roman"/>
        </w:rPr>
        <w:t xml:space="preserve"> </w:t>
      </w:r>
      <w:r w:rsidR="008E590E">
        <w:rPr>
          <w:rFonts w:ascii="Times New Roman" w:hAnsi="Times New Roman" w:cs="Times New Roman"/>
        </w:rPr>
        <w:t xml:space="preserve">When formulated as </w:t>
      </w:r>
      <w:r w:rsidR="00893B78">
        <w:rPr>
          <w:rFonts w:ascii="Times New Roman" w:hAnsi="Times New Roman" w:cs="Times New Roman"/>
        </w:rPr>
        <w:t>Wegovy, semaglutide</w:t>
      </w:r>
      <w:r w:rsidR="002C547A">
        <w:rPr>
          <w:rFonts w:ascii="Times New Roman" w:hAnsi="Times New Roman" w:cs="Times New Roman"/>
        </w:rPr>
        <w:t xml:space="preserve"> </w:t>
      </w:r>
      <w:r w:rsidRPr="00D014F1">
        <w:rPr>
          <w:rFonts w:ascii="Times New Roman" w:hAnsi="Times New Roman" w:cs="Times New Roman"/>
        </w:rPr>
        <w:t xml:space="preserve">can be prescribed at a </w:t>
      </w:r>
      <w:r w:rsidR="001D5F70">
        <w:rPr>
          <w:rFonts w:ascii="Times New Roman" w:hAnsi="Times New Roman" w:cs="Times New Roman"/>
        </w:rPr>
        <w:t>maximum dose of 2.4 mg,</w:t>
      </w:r>
      <w:r w:rsidRPr="00D014F1">
        <w:rPr>
          <w:rFonts w:ascii="Times New Roman" w:hAnsi="Times New Roman" w:cs="Times New Roman"/>
        </w:rPr>
        <w:t xml:space="preserve"> </w:t>
      </w:r>
      <w:r w:rsidR="00C85649" w:rsidRPr="00C85649">
        <w:rPr>
          <w:rFonts w:ascii="Times New Roman" w:hAnsi="Times New Roman" w:cs="Times New Roman"/>
        </w:rPr>
        <w:t xml:space="preserve">although the higher dose is only FDA approved for weight loss rather than treatment of DM. In a 2017 clinical trial, 1210 subjects with an elevated BMI (clinical obesity or overweight) and type 2 DM were treated with one weekly dose of subcutaneous 2.4 mg semaglutide, 1.0 mg semaglutide, or placebo for 68 weeks [8]. Like prior studies, semaglutide was effective in reducing BMI and glucose levels. </w:t>
      </w:r>
      <w:r w:rsidRPr="00D014F1">
        <w:rPr>
          <w:rFonts w:ascii="Times New Roman" w:hAnsi="Times New Roman" w:cs="Times New Roman"/>
        </w:rPr>
        <w:t xml:space="preserve">While higher dosages demonstrated greater efficacy in this study, there was also evidence of dose-dependent adverse effects, the majority of which were GI symptoms. Subjects randomized to 2.4 mg semaglutide treatments had higher reports of GI adverse events (256, 63.5%) in comparison to those receiving 1.0 mg semaglutide (231, 57.5%) or placebo (138, 34.3%). While both groups treated with semaglutide reported more adverse GI events in comparison to the placebo, most patients </w:t>
      </w:r>
      <w:r w:rsidRPr="00D014F1">
        <w:rPr>
          <w:rFonts w:ascii="Times New Roman" w:hAnsi="Times New Roman" w:cs="Times New Roman"/>
        </w:rPr>
        <w:lastRenderedPageBreak/>
        <w:t xml:space="preserve">recovered and were able to remain in the study. However, adverse GI events were, in fact, the leading reason for discontinuation from the trial, with higher rates in 2.4 mg semaglutide groups (25, 6.2%) in comparison to 1.0 mg semaglutide groups (20, 5.0%), or placebo groups (14, 3.5%). </w:t>
      </w:r>
      <w:r w:rsidR="004E4067">
        <w:rPr>
          <w:rFonts w:ascii="Times New Roman" w:hAnsi="Times New Roman" w:cs="Times New Roman"/>
        </w:rPr>
        <w:t xml:space="preserve"> Finally</w:t>
      </w:r>
      <w:r w:rsidRPr="00D014F1">
        <w:rPr>
          <w:rFonts w:ascii="Times New Roman" w:hAnsi="Times New Roman" w:cs="Times New Roman"/>
        </w:rPr>
        <w:t xml:space="preserve">, while higher dosages of semaglutide </w:t>
      </w:r>
      <w:r w:rsidR="002C547A">
        <w:rPr>
          <w:rFonts w:ascii="Times New Roman" w:hAnsi="Times New Roman" w:cs="Times New Roman"/>
        </w:rPr>
        <w:t>were shown to be</w:t>
      </w:r>
      <w:r w:rsidR="002C547A" w:rsidRPr="00D014F1">
        <w:rPr>
          <w:rFonts w:ascii="Times New Roman" w:hAnsi="Times New Roman" w:cs="Times New Roman"/>
        </w:rPr>
        <w:t xml:space="preserve"> </w:t>
      </w:r>
      <w:r w:rsidRPr="00D014F1">
        <w:rPr>
          <w:rFonts w:ascii="Times New Roman" w:hAnsi="Times New Roman" w:cs="Times New Roman"/>
        </w:rPr>
        <w:t xml:space="preserve">associated with more adverse GI events, semaglutide use was associated with overall low rates of severe GI events. </w:t>
      </w:r>
    </w:p>
    <w:p w14:paraId="3BFCE338" w14:textId="3AC3C331" w:rsidR="00D014F1" w:rsidRPr="00D014F1" w:rsidRDefault="004E4067" w:rsidP="00D014F1">
      <w:pPr>
        <w:spacing w:line="480" w:lineRule="auto"/>
        <w:ind w:firstLine="720"/>
        <w:rPr>
          <w:rFonts w:ascii="Times New Roman" w:hAnsi="Times New Roman" w:cs="Times New Roman"/>
        </w:rPr>
      </w:pPr>
      <w:r>
        <w:rPr>
          <w:rFonts w:ascii="Times New Roman" w:hAnsi="Times New Roman" w:cs="Times New Roman"/>
        </w:rPr>
        <w:t xml:space="preserve"> In conclusion,</w:t>
      </w:r>
      <w:r w:rsidR="00D014F1" w:rsidRPr="00D014F1">
        <w:rPr>
          <w:rFonts w:ascii="Times New Roman" w:hAnsi="Times New Roman" w:cs="Times New Roman"/>
        </w:rPr>
        <w:t xml:space="preserve"> use of semaglutide in comparison to standard of care increases the risk of adverse GI events in patients with type 2 DM. Semaglutide use in addition to standard of care for DM is more likely to result in new onset of an adverse GI event, although these events occur in less than half of individuals administered the drug. When semaglutides are used in </w:t>
      </w:r>
      <w:r w:rsidR="00BE4A29">
        <w:rPr>
          <w:rFonts w:ascii="Times New Roman" w:hAnsi="Times New Roman" w:cs="Times New Roman"/>
        </w:rPr>
        <w:t>conjunction</w:t>
      </w:r>
      <w:r w:rsidR="00BE4A29" w:rsidRPr="00D014F1">
        <w:rPr>
          <w:rFonts w:ascii="Times New Roman" w:hAnsi="Times New Roman" w:cs="Times New Roman"/>
        </w:rPr>
        <w:t xml:space="preserve"> </w:t>
      </w:r>
      <w:r w:rsidR="00D014F1" w:rsidRPr="00D014F1">
        <w:rPr>
          <w:rFonts w:ascii="Times New Roman" w:hAnsi="Times New Roman" w:cs="Times New Roman"/>
        </w:rPr>
        <w:t xml:space="preserve">with standard of care DM medications, an increase in adverse GI events may be observed, so careful alterations to the medication regimen may be necessary. Semaglutides are effective due to their ability to delay gastric emptying and lessen food intake. However, this mechanism may result in an observed increase in GI symptomatology. Additionally, higher dosages of semaglutide are associated with higher rates of adverse GI events, which could potentially explain why higher semaglutide dosages are only </w:t>
      </w:r>
      <w:r w:rsidR="00B371AC">
        <w:rPr>
          <w:rFonts w:ascii="Times New Roman" w:hAnsi="Times New Roman" w:cs="Times New Roman"/>
        </w:rPr>
        <w:t xml:space="preserve">FDA-approved </w:t>
      </w:r>
      <w:r w:rsidR="00D014F1" w:rsidRPr="00D014F1">
        <w:rPr>
          <w:rFonts w:ascii="Times New Roman" w:hAnsi="Times New Roman" w:cs="Times New Roman"/>
        </w:rPr>
        <w:t xml:space="preserve">for weight loss rather than DM management. Chronic semaglutide use in patients with type 2 DM should continue to be monitored, as incidence of adverse events may increase with time or incompatible lifestyles (poor dietary decisions, lack of exercise, concomitance with other drugs). In the meantime, providers should consult patients on lifestyle and habit changes necessary for safe and long-term semaglutide use. </w:t>
      </w:r>
    </w:p>
    <w:p w14:paraId="44B14BE6" w14:textId="77777777" w:rsidR="00D014F1" w:rsidRPr="00D014F1" w:rsidRDefault="00D014F1" w:rsidP="00D014F1">
      <w:pPr>
        <w:spacing w:line="480" w:lineRule="auto"/>
        <w:rPr>
          <w:rFonts w:ascii="Times New Roman" w:hAnsi="Times New Roman" w:cs="Times New Roman"/>
          <w:b/>
          <w:bCs/>
          <w:u w:val="single"/>
        </w:rPr>
      </w:pPr>
      <w:r w:rsidRPr="00D014F1">
        <w:rPr>
          <w:rFonts w:ascii="Times New Roman" w:hAnsi="Times New Roman" w:cs="Times New Roman"/>
          <w:b/>
          <w:bCs/>
          <w:u w:val="single"/>
        </w:rPr>
        <w:t>Reflection on Effective Communication in Healthcare</w:t>
      </w:r>
    </w:p>
    <w:p w14:paraId="60B996B0"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The relationship between providers and patients can meaningfully determine how receptive patients are to receiving medical care. Because patient trust in their providers plays </w:t>
      </w:r>
      <w:r w:rsidRPr="00D014F1">
        <w:rPr>
          <w:rFonts w:ascii="Times New Roman" w:hAnsi="Times New Roman" w:cs="Times New Roman"/>
        </w:rPr>
        <w:lastRenderedPageBreak/>
        <w:t xml:space="preserve">such a critical role in shared decision making and patient compliance, the establishment of a therapeutic relationship between patients and providers is critical to improving patient outcomes. However, the provider-patient relationship is delicate, and good rapport can take time to develop, especially with patients that share dissimilar cultures with their providers. </w:t>
      </w:r>
    </w:p>
    <w:p w14:paraId="4AD6B980" w14:textId="4A458C39" w:rsidR="00D014F1" w:rsidRPr="00D014F1" w:rsidRDefault="001064E2" w:rsidP="00D014F1">
      <w:pPr>
        <w:spacing w:line="480" w:lineRule="auto"/>
        <w:rPr>
          <w:rFonts w:ascii="Times New Roman" w:hAnsi="Times New Roman" w:cs="Times New Roman"/>
        </w:rPr>
      </w:pPr>
      <w:r>
        <w:rPr>
          <w:rFonts w:ascii="Times New Roman" w:hAnsi="Times New Roman" w:cs="Times New Roman"/>
        </w:rPr>
        <w:tab/>
      </w:r>
      <w:r w:rsidR="00D014F1" w:rsidRPr="00D014F1">
        <w:rPr>
          <w:rFonts w:ascii="Times New Roman" w:hAnsi="Times New Roman" w:cs="Times New Roman"/>
        </w:rPr>
        <w:t xml:space="preserve">In the United States, historical and systemic prejudice plays a role in the development of implicit biases that can influence provider-patient interactions. As such, discrimination based on race, gender, or other identifying social constructs has led to racism, inequality, and inequity concerning the process of patient history intake, evaluation, and diagnostic testing [9]. To address these biases and provide quality care, providers must not only be adept at the science of medicine but also </w:t>
      </w:r>
      <w:r w:rsidR="00911ECB">
        <w:rPr>
          <w:rFonts w:ascii="Times New Roman" w:hAnsi="Times New Roman" w:cs="Times New Roman"/>
        </w:rPr>
        <w:t xml:space="preserve">be </w:t>
      </w:r>
      <w:r w:rsidR="00D014F1" w:rsidRPr="00D014F1">
        <w:rPr>
          <w:rFonts w:ascii="Times New Roman" w:hAnsi="Times New Roman" w:cs="Times New Roman"/>
        </w:rPr>
        <w:t xml:space="preserve">effective communicators. To bridge any cultural divide, providers need to be aware of not only the beliefs and goals of their patients but also of how their own prejudices may influence patient perspectives. Providers having a self-awareness of biases and practicing increased cultural sensitivity can help build good rapport with patients, but it is crucial that providers also recognize that biases arising from patients can play a role in their care as well. </w:t>
      </w:r>
    </w:p>
    <w:p w14:paraId="2A973BFE"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While shadowing at an internal medicine clinic, I witnessed the evaluation of a young patient that presented to establish primary care. This patient reported that her current primary care provider was a chiropractor that she described as a “natural health specialist.” This specialist had instructed the patient to follow up with a physician for further evaluation of the patient’s ongoing symptoms and concern about “abnormal” lab results. The patient provided for review the results of blood testing ordered by her chiropractor and obtained at an outside facility. On presentation, the patient reported an intermittent facial rash, left knee pain and weakness, fatigue, tremors, decreased appetite, unexpected weight loss, and constant left abdominal pain for several months. Her exam was normal and her blood work, albeit obtained from an outside source, </w:t>
      </w:r>
      <w:r w:rsidRPr="00D014F1">
        <w:rPr>
          <w:rFonts w:ascii="Times New Roman" w:hAnsi="Times New Roman" w:cs="Times New Roman"/>
        </w:rPr>
        <w:lastRenderedPageBreak/>
        <w:t xml:space="preserve">demonstrated no abnormalities. Prior to these symptoms, the patient had been healthy with no significant past medical history. </w:t>
      </w:r>
    </w:p>
    <w:p w14:paraId="06E5469C" w14:textId="083DE8C6"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Discharging the patient with reassurance and recommendations for routine follow-up was the expected outcome to the visit. However, to assure quality care and establish trust, the patient’s concerns needed to be addressed. Given her history for seeking alternatives to traditional medicine, the patient was initially skeptical of the provider’s lack of abnormal findings on physical exam. Rapport may have quickly deteriorated, but the provider validated the patient’s concerns with statements such as: “It’s good that you came in today;” “I don’t see anything abnormal with your bloodwork, but let’s run another test here just to be sure;” </w:t>
      </w:r>
      <w:r w:rsidR="007C4565">
        <w:rPr>
          <w:rFonts w:ascii="Times New Roman" w:hAnsi="Times New Roman" w:cs="Times New Roman"/>
        </w:rPr>
        <w:t xml:space="preserve">and </w:t>
      </w:r>
      <w:r w:rsidRPr="00D014F1">
        <w:rPr>
          <w:rFonts w:ascii="Times New Roman" w:hAnsi="Times New Roman" w:cs="Times New Roman"/>
        </w:rPr>
        <w:t>“I haven’t found anything on my exam, but I want to make sure we’ve covered everything.” What appeared most effective in this interaction was the provider’s neutral language and her emphasizing that her recommendations were just that rather than directives. The decision making was framed in consideration of the patient’s comfort and with respect to her concerns. Additionally, though the provider emphasized that chiropractors lacked certification to provide traditional medical advice or interpret lab results, she was careful not to criticize the patient’s decision to seek primary care from a chiropractor. Acknowledgement of the patient’s subjective experience and encouraging the patient to be involved in the decision making resulted in a positive patient experience. By the end of the visit, the patient was agreeable to receiving lab work and recording the frequency and quality of her symptoms when they occurred. She was discharged with follow-up in a month and appeared satisfied with the visit. Most importantly, it appeared that she felt heard by the provider.</w:t>
      </w:r>
    </w:p>
    <w:p w14:paraId="24D27F27"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While provider-patient communication is invaluable in providing quality care, provider-provider interactions are equally as important. Healthcare fundamentally requires trust and </w:t>
      </w:r>
      <w:r w:rsidRPr="00D014F1">
        <w:rPr>
          <w:rFonts w:ascii="Times New Roman" w:hAnsi="Times New Roman" w:cs="Times New Roman"/>
        </w:rPr>
        <w:lastRenderedPageBreak/>
        <w:t>respect between providers and patients, but in high-stress environments integrity may be compromised by inappropriate discussions. Although humor can provide levity to dark and uncomfortable situations, jokes with patients as the subjects are not only inappropriate but can also influence perceptions of the patient’s presentation. The relationship between providers and patients is built on honesty, and disrespect can indirectly obfuscate the nature of a patient’s presentation.</w:t>
      </w:r>
    </w:p>
    <w:p w14:paraId="3A64C2A6" w14:textId="4DE36C7E"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For two years I was employed as a scribe in the emergency department (ED) at United Medical Center (UMC) in Washington, D.C. Many of the patients that I saw with providers had extensive medical histories and were well known to providers given how frequently they were seen in the ED. One patient that was well known to the ED staff, who I will refer to as Jane Doe, presented weekly for back pain. Jane Doe often requested medications for her symptoms and reported that “only Dilaudid” alleviated her discomfort. Both nurses and physicians warily attributed her symptoms to drug-seeking behaviors</w:t>
      </w:r>
      <w:r w:rsidR="009B68C3" w:rsidRPr="00D014F1">
        <w:rPr>
          <w:rFonts w:ascii="Times New Roman" w:hAnsi="Times New Roman" w:cs="Times New Roman"/>
        </w:rPr>
        <w:t xml:space="preserve">. </w:t>
      </w:r>
      <w:r w:rsidRPr="00D014F1">
        <w:rPr>
          <w:rFonts w:ascii="Times New Roman" w:hAnsi="Times New Roman" w:cs="Times New Roman"/>
        </w:rPr>
        <w:t>As such, triage assigned her a low acuity status whenever she arrived with this complaint. On the day that I saw Jane Doe, she had already waited several hours in the waiting room</w:t>
      </w:r>
      <w:r w:rsidR="009B68C3" w:rsidRPr="00D014F1">
        <w:rPr>
          <w:rFonts w:ascii="Times New Roman" w:hAnsi="Times New Roman" w:cs="Times New Roman"/>
        </w:rPr>
        <w:t xml:space="preserve">. </w:t>
      </w:r>
      <w:r w:rsidRPr="00D014F1">
        <w:rPr>
          <w:rFonts w:ascii="Times New Roman" w:hAnsi="Times New Roman" w:cs="Times New Roman"/>
        </w:rPr>
        <w:t xml:space="preserve">When the provider saw her, they listened to the history of her chief complaint and then subsequently discharged her with acetaminophen. The provider then spoke with the another attending physician and made a comment that “the frequent flyer” would be back by morning. </w:t>
      </w:r>
    </w:p>
    <w:p w14:paraId="468C3F15"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Jane Doe returned the following evening and was once again evaluated for back pain. However, the new provider that attended Jane Doe further investigated her symptoms before ultimately diagnosing her with pyelonephritis. In contrast to her evaluation the day prior, Jane Doe received a more extensive medical workup and received a different disposition. Given Jane Doe’s history and frequent presentations, the initial provider had inaccurately attributed her </w:t>
      </w:r>
      <w:r w:rsidRPr="00D014F1">
        <w:rPr>
          <w:rFonts w:ascii="Times New Roman" w:hAnsi="Times New Roman" w:cs="Times New Roman"/>
        </w:rPr>
        <w:lastRenderedPageBreak/>
        <w:t>symptoms to drug-seeking behaviors. The impression that providers had of Jane Doe were influenced by these prior interactions, and in a high-stress environment such as the ED, Jane Doe’s typically benign presentations were not a significant concern. The initial provider used humor to express their frustrations, but their preconceptions of the patient dominated the medical decision making and unintentionally masked the true presentation. Given the potential severity in adverse outcomes for untreated pyelonephritis, the superficial nature of the initial evaluation could have put Jane Doe at risk for significant morbidity or even death.</w:t>
      </w:r>
    </w:p>
    <w:p w14:paraId="0D5CEE3C" w14:textId="2689C660"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Unprofessional behavior in provider-provider interactions has the potential to erode patient care and diminish the trust between patients and their providers. In some instances, inappropriate communication might reflect poor coping and/or burnout in a stressful environment. In a 2015 study conducted in Sierre Leone, healthcare workers received counseling and psychosocial training on coping, stress, provider-provider interactions, and provider-patient interactions [10]. Results from this study demonstrated that associations between changes in coping skills (from baseline to intervention) and changes in relationships were strong (+0.475, p &lt; 0.01), with the strongest association being between changes in provider-patient relationships (+0.415, p &lt; 0.01) compared to changes in provider-coworker relationships (+0.330, p &lt; 0.01).  Additionally, implementation of new coping skills reduced stress but had weak associations with overall stress levels (-0.197, p &lt; 0.05), while changes in communication skill reduced stress but with strong associations in overall stress levels (-0.237, p &lt; 0.01). While the study is focused on providers in Sierre Leone, I believe that it holds both statistical and social significance. Besides quantitative data, what I found most notable were the qualitative self-reports from providers after completing the study. Providers reported having a greater degree of “patience” for their patients and coworkers as well as an increased capacity for “empathy.”   </w:t>
      </w:r>
    </w:p>
    <w:p w14:paraId="412C32F6" w14:textId="628CC290" w:rsidR="00D014F1" w:rsidRPr="00D014F1" w:rsidRDefault="001F383B" w:rsidP="00D014F1">
      <w:pPr>
        <w:spacing w:line="480" w:lineRule="auto"/>
        <w:ind w:firstLine="720"/>
        <w:rPr>
          <w:rFonts w:ascii="Times New Roman" w:hAnsi="Times New Roman" w:cs="Times New Roman"/>
        </w:rPr>
      </w:pPr>
      <w:r>
        <w:rPr>
          <w:rFonts w:ascii="Times New Roman" w:hAnsi="Times New Roman" w:cs="Times New Roman"/>
        </w:rPr>
        <w:lastRenderedPageBreak/>
        <w:t xml:space="preserve"> A productive</w:t>
      </w:r>
      <w:r w:rsidR="00D014F1" w:rsidRPr="00D014F1">
        <w:rPr>
          <w:rFonts w:ascii="Times New Roman" w:hAnsi="Times New Roman" w:cs="Times New Roman"/>
        </w:rPr>
        <w:t xml:space="preserve"> relationship between providers and patients is dependent on communication, with effective dialogue allowing for quality medical decision making. Explicit and implicit biases can create obstacles that providers need to navigate in order to provide the appropriate care to their patients. </w:t>
      </w:r>
      <w:r w:rsidR="001F1144" w:rsidRPr="001F1144">
        <w:rPr>
          <w:rFonts w:ascii="Times New Roman" w:hAnsi="Times New Roman" w:cs="Times New Roman"/>
        </w:rPr>
        <w:t>Moreover, these same biases can potentially influence provider-provider interactions, as crude and inappropriate dialogue between providers can promote an environment that is incompatible with patient care.</w:t>
      </w:r>
      <w:r w:rsidR="001F1144">
        <w:rPr>
          <w:rFonts w:ascii="Times New Roman" w:hAnsi="Times New Roman" w:cs="Times New Roman"/>
        </w:rPr>
        <w:t xml:space="preserve"> </w:t>
      </w:r>
      <w:r w:rsidR="00B371AC">
        <w:rPr>
          <w:rFonts w:ascii="Times New Roman" w:hAnsi="Times New Roman" w:cs="Times New Roman"/>
        </w:rPr>
        <w:t>Effective strategies</w:t>
      </w:r>
      <w:r w:rsidR="001F1144">
        <w:rPr>
          <w:rFonts w:ascii="Times New Roman" w:hAnsi="Times New Roman" w:cs="Times New Roman"/>
        </w:rPr>
        <w:t xml:space="preserve"> for mitigating </w:t>
      </w:r>
      <w:r w:rsidR="00951846">
        <w:rPr>
          <w:rFonts w:ascii="Times New Roman" w:hAnsi="Times New Roman" w:cs="Times New Roman"/>
        </w:rPr>
        <w:t xml:space="preserve">these </w:t>
      </w:r>
      <w:r w:rsidR="001F1144">
        <w:rPr>
          <w:rFonts w:ascii="Times New Roman" w:hAnsi="Times New Roman" w:cs="Times New Roman"/>
        </w:rPr>
        <w:t>bias</w:t>
      </w:r>
      <w:r w:rsidR="00951846">
        <w:rPr>
          <w:rFonts w:ascii="Times New Roman" w:hAnsi="Times New Roman" w:cs="Times New Roman"/>
        </w:rPr>
        <w:t>es</w:t>
      </w:r>
      <w:r w:rsidR="001F1144">
        <w:rPr>
          <w:rFonts w:ascii="Times New Roman" w:hAnsi="Times New Roman" w:cs="Times New Roman"/>
        </w:rPr>
        <w:t xml:space="preserve"> </w:t>
      </w:r>
      <w:r w:rsidR="00B371AC">
        <w:rPr>
          <w:rFonts w:ascii="Times New Roman" w:hAnsi="Times New Roman" w:cs="Times New Roman"/>
        </w:rPr>
        <w:t>are</w:t>
      </w:r>
      <w:r w:rsidR="00951846">
        <w:rPr>
          <w:rFonts w:ascii="Times New Roman" w:hAnsi="Times New Roman" w:cs="Times New Roman"/>
        </w:rPr>
        <w:t xml:space="preserve"> </w:t>
      </w:r>
      <w:r w:rsidR="001F1144">
        <w:rPr>
          <w:rFonts w:ascii="Times New Roman" w:hAnsi="Times New Roman" w:cs="Times New Roman"/>
        </w:rPr>
        <w:t>cu</w:t>
      </w:r>
      <w:r w:rsidR="00D014F1" w:rsidRPr="00D014F1">
        <w:rPr>
          <w:rFonts w:ascii="Times New Roman" w:hAnsi="Times New Roman" w:cs="Times New Roman"/>
        </w:rPr>
        <w:t>ltural awareness and interpersonal communication driven by empathy</w:t>
      </w:r>
      <w:r w:rsidR="00951846">
        <w:rPr>
          <w:rFonts w:ascii="Times New Roman" w:hAnsi="Times New Roman" w:cs="Times New Roman"/>
        </w:rPr>
        <w:t>, which can a</w:t>
      </w:r>
      <w:r w:rsidR="00B371AC">
        <w:rPr>
          <w:rFonts w:ascii="Times New Roman" w:hAnsi="Times New Roman" w:cs="Times New Roman"/>
        </w:rPr>
        <w:t xml:space="preserve">lleviate the stress that providers experience while also </w:t>
      </w:r>
      <w:r w:rsidR="00951846">
        <w:rPr>
          <w:rFonts w:ascii="Times New Roman" w:hAnsi="Times New Roman" w:cs="Times New Roman"/>
        </w:rPr>
        <w:t>bridg</w:t>
      </w:r>
      <w:r w:rsidR="00B371AC">
        <w:rPr>
          <w:rFonts w:ascii="Times New Roman" w:hAnsi="Times New Roman" w:cs="Times New Roman"/>
        </w:rPr>
        <w:t>ing</w:t>
      </w:r>
      <w:r w:rsidR="00951846">
        <w:rPr>
          <w:rFonts w:ascii="Times New Roman" w:hAnsi="Times New Roman" w:cs="Times New Roman"/>
        </w:rPr>
        <w:t xml:space="preserve"> </w:t>
      </w:r>
      <w:r w:rsidR="00D014F1" w:rsidRPr="00D014F1">
        <w:rPr>
          <w:rFonts w:ascii="Times New Roman" w:hAnsi="Times New Roman" w:cs="Times New Roman"/>
        </w:rPr>
        <w:t xml:space="preserve">the gap between providers and patients from different backgrounds. As such, providers are responsible for maintaining a culture of integrity and humility in either the clinic or hospital setting. By building positive rapport with patients and addressing their concerns, clinical practice becomes a more inclusive and conscientious experience for both providers and patients. </w:t>
      </w:r>
    </w:p>
    <w:p w14:paraId="78A097C6" w14:textId="77777777" w:rsidR="00D014F1" w:rsidRPr="00D014F1" w:rsidRDefault="00D014F1" w:rsidP="00D014F1">
      <w:pPr>
        <w:spacing w:line="480" w:lineRule="auto"/>
        <w:rPr>
          <w:rFonts w:ascii="Times New Roman" w:hAnsi="Times New Roman" w:cs="Times New Roman"/>
          <w:b/>
          <w:bCs/>
          <w:u w:val="single"/>
        </w:rPr>
      </w:pPr>
      <w:r w:rsidRPr="00D014F1">
        <w:rPr>
          <w:rFonts w:ascii="Times New Roman" w:hAnsi="Times New Roman" w:cs="Times New Roman"/>
          <w:b/>
          <w:bCs/>
          <w:u w:val="single"/>
        </w:rPr>
        <w:t>Reflections on Psychosocial Determinants of Health</w:t>
      </w:r>
    </w:p>
    <w:p w14:paraId="43EB8F99" w14:textId="0917018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Wellbeing can be described as a multitude of factors that reflect an individual’s current health. These variables or determinants of health include environmental, genetic, educational, and social factors. Consequently, when an individual presents to a clinic or hospital for evaluation, the complex interactions of these variables have the potential to impact a patient’s condition and influence the outcome of medical management. Most notably, social factors such as transportation or limited resources in a low socioeconomic environment can play a significant role in determining the incidence of a disease as well as the success of outpatient management. As such, addressing a patient’s health not only includes possible interventions but also acknowledges the social barriers that impede ongoing treatment and may lead to a decline in overall health</w:t>
      </w:r>
      <w:r w:rsidR="009B68C3" w:rsidRPr="00D014F1">
        <w:rPr>
          <w:rFonts w:ascii="Times New Roman" w:hAnsi="Times New Roman" w:cs="Times New Roman"/>
        </w:rPr>
        <w:t xml:space="preserve">. </w:t>
      </w:r>
    </w:p>
    <w:p w14:paraId="3EF0C669" w14:textId="5709B680"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lastRenderedPageBreak/>
        <w:t>In Washington, DC, the Potomac River divides the north and south sides of the city. Affluent communities including the White House lie to the north of the river, while historically low socioeconomic and segregated communities are located to the south of the river</w:t>
      </w:r>
      <w:r w:rsidR="009B68C3" w:rsidRPr="00D014F1">
        <w:rPr>
          <w:rFonts w:ascii="Times New Roman" w:hAnsi="Times New Roman" w:cs="Times New Roman"/>
        </w:rPr>
        <w:t xml:space="preserve">. </w:t>
      </w:r>
      <w:r w:rsidRPr="00D014F1">
        <w:rPr>
          <w:rFonts w:ascii="Times New Roman" w:hAnsi="Times New Roman" w:cs="Times New Roman"/>
        </w:rPr>
        <w:t xml:space="preserve">As a scribe at United Medical Center (UMC), the only hospital south of the Potomac, I interacted with many patients that were unhoused, of low socioeconomic status, and/or who had poor education about navigating the healthcare system. </w:t>
      </w:r>
      <w:r w:rsidR="009B68C3">
        <w:rPr>
          <w:rFonts w:ascii="Times New Roman" w:hAnsi="Times New Roman" w:cs="Times New Roman"/>
        </w:rPr>
        <w:t>A considerable number of these</w:t>
      </w:r>
      <w:r w:rsidRPr="00D014F1">
        <w:rPr>
          <w:rFonts w:ascii="Times New Roman" w:hAnsi="Times New Roman" w:cs="Times New Roman"/>
        </w:rPr>
        <w:t xml:space="preserve"> patients, due to a lack of transportation and insurance, utilized the emergency department (ED) of UMC as their source of primary care. Although the hospital </w:t>
      </w:r>
      <w:r w:rsidR="00EF4B22">
        <w:rPr>
          <w:rFonts w:ascii="Times New Roman" w:hAnsi="Times New Roman" w:cs="Times New Roman"/>
        </w:rPr>
        <w:t>was without</w:t>
      </w:r>
      <w:r w:rsidR="00EF4B22" w:rsidRPr="00D014F1">
        <w:rPr>
          <w:rFonts w:ascii="Times New Roman" w:hAnsi="Times New Roman" w:cs="Times New Roman"/>
        </w:rPr>
        <w:t xml:space="preserve"> </w:t>
      </w:r>
      <w:r w:rsidRPr="00D014F1">
        <w:rPr>
          <w:rFonts w:ascii="Times New Roman" w:hAnsi="Times New Roman" w:cs="Times New Roman"/>
        </w:rPr>
        <w:t xml:space="preserve">most specialties and did not generate positive revenue for the DC area, the facility </w:t>
      </w:r>
      <w:r w:rsidR="009B68C3" w:rsidRPr="00D014F1">
        <w:rPr>
          <w:rFonts w:ascii="Times New Roman" w:hAnsi="Times New Roman" w:cs="Times New Roman"/>
        </w:rPr>
        <w:t>functioned as</w:t>
      </w:r>
      <w:r w:rsidRPr="00D014F1">
        <w:rPr>
          <w:rFonts w:ascii="Times New Roman" w:hAnsi="Times New Roman" w:cs="Times New Roman"/>
        </w:rPr>
        <w:t xml:space="preserve"> a critical point of access to healthcare for a community that was largely underserved. </w:t>
      </w:r>
    </w:p>
    <w:p w14:paraId="35F87E37"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One patient that I encountered as a scribe was an unhoused, middle-aged, obese, male who frequently presented in diabetic crisis. The patient’s glucose was typically greater than 200 mg/dL (borderline diabetic level is 126 mg/dL), and he had substantial risk of chronic kidney disease and diabetic ketoacidosis. As the frequency of his presentations increased, his well-being and quality of life notably decreased. Despite receiving referrals for follow-up, prescription refills, emergent interventions when necessary, and a robust plan of care on disposition, this patient continued to be seen in the ED. The barriers that increased his risk of diabetes and its assortment of comorbidities were the same barriers that prevented him from interacting with the healthcare system. Low socioeconomic status, food deserts, lack of transportation, and poor education regarding healthcare utilization prevented this patient from complying with the optimal plan of care. Therefore, the emergency department was the only comprehensive healthcare that this patient had reasonable access to. </w:t>
      </w:r>
    </w:p>
    <w:p w14:paraId="190ED62E" w14:textId="4D4A05F3"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lastRenderedPageBreak/>
        <w:t xml:space="preserve">The barriers that transportation and housing status present can impede a patient’s ability to seek appropriate care or engage with the healthcare system. In a 1994 study, out of 3897 patients, 35.8% reported a lack of private transportation (traveling via walking or public transportation). Notably, these same individuals were more likely to not have a regular source of medical care (OR, 1.47; 95% CI, 1.26–1.72) and were more likely to wait more than 2 days prior to seeking care (OR, 1.60; 95% CI, 1.32–1.94) </w:t>
      </w:r>
      <w:r w:rsidR="00EF4B22">
        <w:rPr>
          <w:rFonts w:ascii="Times New Roman" w:hAnsi="Times New Roman" w:cs="Times New Roman"/>
        </w:rPr>
        <w:t>when compared to individuals with access to private transportation</w:t>
      </w:r>
      <w:r w:rsidR="00EF4B22" w:rsidRPr="00D014F1">
        <w:rPr>
          <w:rFonts w:ascii="Times New Roman" w:hAnsi="Times New Roman" w:cs="Times New Roman"/>
        </w:rPr>
        <w:t xml:space="preserve"> </w:t>
      </w:r>
      <w:r w:rsidRPr="00D014F1">
        <w:rPr>
          <w:rFonts w:ascii="Times New Roman" w:hAnsi="Times New Roman" w:cs="Times New Roman"/>
        </w:rPr>
        <w:t>[1</w:t>
      </w:r>
      <w:r w:rsidR="001F1144">
        <w:rPr>
          <w:rFonts w:ascii="Times New Roman" w:hAnsi="Times New Roman" w:cs="Times New Roman"/>
        </w:rPr>
        <w:t>1]</w:t>
      </w:r>
      <w:r w:rsidRPr="00D014F1">
        <w:rPr>
          <w:rFonts w:ascii="Times New Roman" w:hAnsi="Times New Roman" w:cs="Times New Roman"/>
        </w:rPr>
        <w:t>. Additionally, patients that lack transportation may also have limited access to filling their prescriptions. In a 2018 study, pediatric patients that lived in households without public transportation were found to have a greater likelihood of not filling their prescription within 30 days (OR 1.77; 95% CI 1.68–1.87)</w:t>
      </w:r>
      <w:r w:rsidR="00EF4B22">
        <w:rPr>
          <w:rFonts w:ascii="Times New Roman" w:hAnsi="Times New Roman" w:cs="Times New Roman"/>
        </w:rPr>
        <w:t xml:space="preserve"> than those individuals without transportation barriers</w:t>
      </w:r>
      <w:r w:rsidRPr="00D014F1">
        <w:rPr>
          <w:rFonts w:ascii="Times New Roman" w:hAnsi="Times New Roman" w:cs="Times New Roman"/>
        </w:rPr>
        <w:t xml:space="preserve"> </w:t>
      </w:r>
      <w:r w:rsidR="001F1144">
        <w:rPr>
          <w:rFonts w:ascii="Times New Roman" w:hAnsi="Times New Roman" w:cs="Times New Roman"/>
        </w:rPr>
        <w:t xml:space="preserve">[12]. </w:t>
      </w:r>
      <w:r w:rsidRPr="00D014F1">
        <w:rPr>
          <w:rFonts w:ascii="Times New Roman" w:hAnsi="Times New Roman" w:cs="Times New Roman"/>
        </w:rPr>
        <w:t xml:space="preserve">In both studies, low socioeconomic status is acknowledged as a combinatorial factor that increases likelihood of delayed care. As such, a lack of transportation presents a significant barrier that results in the delayed care of patients. </w:t>
      </w:r>
    </w:p>
    <w:p w14:paraId="693B6026" w14:textId="77777777"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While lack of transportation can impede access to healthcare facilities, access to public transport may actually increase feelings of vulnerability for certain populations. Middletown is a suburban area with free public transportation throughout the city. While shadowing at a psychiatric clinic, I encountered many patients whose only means of travel was public transportation. A young female with a history of generalized anxiety disorder (GAD) and posttraumatic stress disorder (PTSD) presented to the clinic after previously cancelling five of her prior visits. The patient reported that she was unable to take public transportation out of fear and that she relied on family members to provide transportation when they were available. The female lacked a driving license, so she was unable to come to the clinic independently. She also </w:t>
      </w:r>
      <w:r w:rsidRPr="00D014F1">
        <w:rPr>
          <w:rFonts w:ascii="Times New Roman" w:hAnsi="Times New Roman" w:cs="Times New Roman"/>
        </w:rPr>
        <w:lastRenderedPageBreak/>
        <w:t xml:space="preserve">reported new feelings of loneliness, stating that her lack of personal transport also prevented her from meeting with friends who also lived in the town. </w:t>
      </w:r>
    </w:p>
    <w:p w14:paraId="25E48FE9" w14:textId="2B5FA2D9" w:rsidR="00D014F1" w:rsidRPr="00D014F1"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In 2023 the National Health and Aging Trends Study (NHATS) analyzed the effects of lack of transportation on mental health in a population of 2 million older adults (age &lt; 65 years)</w:t>
      </w:r>
      <w:r w:rsidR="00893B78">
        <w:rPr>
          <w:rFonts w:ascii="Times New Roman" w:hAnsi="Times New Roman" w:cs="Times New Roman"/>
        </w:rPr>
        <w:t xml:space="preserve"> [13]</w:t>
      </w:r>
      <w:r w:rsidRPr="00D014F1">
        <w:rPr>
          <w:rFonts w:ascii="Times New Roman" w:hAnsi="Times New Roman" w:cs="Times New Roman"/>
        </w:rPr>
        <w:t xml:space="preserve">. </w:t>
      </w:r>
      <w:r w:rsidR="00FC33BE">
        <w:rPr>
          <w:rFonts w:ascii="Times New Roman" w:hAnsi="Times New Roman" w:cs="Times New Roman"/>
        </w:rPr>
        <w:t>By utilizing a quality system (1 [never] – 5 [everyday]) and determining the averages, this study sought to quantify the impact of transportation on mental wellbeing. O</w:t>
      </w:r>
      <w:r w:rsidR="00CF6784">
        <w:rPr>
          <w:rFonts w:ascii="Times New Roman" w:hAnsi="Times New Roman" w:cs="Times New Roman"/>
        </w:rPr>
        <w:t xml:space="preserve">ut of a </w:t>
      </w:r>
      <w:r w:rsidRPr="00D014F1">
        <w:rPr>
          <w:rFonts w:ascii="Times New Roman" w:hAnsi="Times New Roman" w:cs="Times New Roman"/>
        </w:rPr>
        <w:t>sample of 7547 older adult</w:t>
      </w:r>
      <w:r w:rsidR="00CF6784">
        <w:rPr>
          <w:rFonts w:ascii="Times New Roman" w:hAnsi="Times New Roman" w:cs="Times New Roman"/>
        </w:rPr>
        <w:t>s</w:t>
      </w:r>
      <w:r w:rsidR="001349AC">
        <w:rPr>
          <w:rFonts w:ascii="Times New Roman" w:hAnsi="Times New Roman" w:cs="Times New Roman"/>
        </w:rPr>
        <w:t>,</w:t>
      </w:r>
      <w:r w:rsidR="00FC33BE">
        <w:rPr>
          <w:rFonts w:ascii="Times New Roman" w:hAnsi="Times New Roman" w:cs="Times New Roman"/>
        </w:rPr>
        <w:t xml:space="preserve"> </w:t>
      </w:r>
      <w:r w:rsidR="00CF6784">
        <w:rPr>
          <w:rFonts w:ascii="Times New Roman" w:hAnsi="Times New Roman" w:cs="Times New Roman"/>
        </w:rPr>
        <w:t>those who reported transportation barriers</w:t>
      </w:r>
      <w:r w:rsidR="00FC33BE">
        <w:rPr>
          <w:rFonts w:ascii="Times New Roman" w:hAnsi="Times New Roman" w:cs="Times New Roman"/>
        </w:rPr>
        <w:t xml:space="preserve"> (n = 495)</w:t>
      </w:r>
      <w:r w:rsidR="00CF6784">
        <w:rPr>
          <w:rFonts w:ascii="Times New Roman" w:hAnsi="Times New Roman" w:cs="Times New Roman"/>
        </w:rPr>
        <w:t xml:space="preserve"> </w:t>
      </w:r>
      <w:r w:rsidR="00FC33BE">
        <w:rPr>
          <w:rFonts w:ascii="Times New Roman" w:hAnsi="Times New Roman" w:cs="Times New Roman"/>
        </w:rPr>
        <w:t xml:space="preserve">in comparison to those without transportation barriers (n = 7052) noted more episodes of loneliness in a week </w:t>
      </w:r>
      <w:r w:rsidRPr="00D014F1">
        <w:rPr>
          <w:rFonts w:ascii="Times New Roman" w:hAnsi="Times New Roman" w:cs="Times New Roman"/>
        </w:rPr>
        <w:t>(</w:t>
      </w:r>
      <w:r w:rsidR="001349AC">
        <w:rPr>
          <w:rFonts w:ascii="Times New Roman" w:hAnsi="Times New Roman" w:cs="Times New Roman"/>
        </w:rPr>
        <w:t>2.68 vs. 1.81</w:t>
      </w:r>
      <w:r w:rsidR="00492BA6">
        <w:rPr>
          <w:rFonts w:ascii="Times New Roman" w:hAnsi="Times New Roman" w:cs="Times New Roman"/>
        </w:rPr>
        <w:t>;</w:t>
      </w:r>
      <w:r w:rsidR="001349AC">
        <w:rPr>
          <w:rFonts w:ascii="Times New Roman" w:hAnsi="Times New Roman" w:cs="Times New Roman"/>
        </w:rPr>
        <w:t xml:space="preserve"> </w:t>
      </w:r>
      <w:r w:rsidRPr="00D014F1">
        <w:rPr>
          <w:rFonts w:ascii="Times New Roman" w:hAnsi="Times New Roman" w:cs="Times New Roman"/>
        </w:rPr>
        <w:t>p &lt; 0.001)</w:t>
      </w:r>
      <w:r w:rsidR="00FC33BE">
        <w:rPr>
          <w:rFonts w:ascii="Times New Roman" w:hAnsi="Times New Roman" w:cs="Times New Roman"/>
        </w:rPr>
        <w:t>. Additionally, within this same group, those who reported transportation barriers</w:t>
      </w:r>
      <w:r w:rsidR="002D25AF">
        <w:rPr>
          <w:rFonts w:ascii="Times New Roman" w:hAnsi="Times New Roman" w:cs="Times New Roman"/>
        </w:rPr>
        <w:t xml:space="preserve"> </w:t>
      </w:r>
      <w:r w:rsidR="00FC33BE">
        <w:rPr>
          <w:rFonts w:ascii="Times New Roman" w:hAnsi="Times New Roman" w:cs="Times New Roman"/>
        </w:rPr>
        <w:t>in comparison to those who did not report any transportation barriers</w:t>
      </w:r>
      <w:r w:rsidR="002D25AF">
        <w:rPr>
          <w:rFonts w:ascii="Times New Roman" w:hAnsi="Times New Roman" w:cs="Times New Roman"/>
        </w:rPr>
        <w:t xml:space="preserve"> noted more frequent episodes </w:t>
      </w:r>
      <w:r w:rsidR="002D25AF" w:rsidRPr="00D014F1">
        <w:rPr>
          <w:rFonts w:ascii="Times New Roman" w:hAnsi="Times New Roman" w:cs="Times New Roman"/>
        </w:rPr>
        <w:t>of depression/anxiety</w:t>
      </w:r>
      <w:r w:rsidR="002D25AF">
        <w:rPr>
          <w:rFonts w:ascii="Times New Roman" w:hAnsi="Times New Roman" w:cs="Times New Roman"/>
        </w:rPr>
        <w:t xml:space="preserve"> (</w:t>
      </w:r>
      <w:r w:rsidR="00492BA6">
        <w:rPr>
          <w:rFonts w:ascii="Times New Roman" w:hAnsi="Times New Roman" w:cs="Times New Roman"/>
        </w:rPr>
        <w:t xml:space="preserve">3.47 vs. 1.67; </w:t>
      </w:r>
      <w:r w:rsidR="002D25AF" w:rsidRPr="00D014F1">
        <w:rPr>
          <w:rFonts w:ascii="Times New Roman" w:hAnsi="Times New Roman" w:cs="Times New Roman"/>
        </w:rPr>
        <w:t>p &lt; 0.001</w:t>
      </w:r>
      <w:r w:rsidR="002D25AF">
        <w:rPr>
          <w:rFonts w:ascii="Times New Roman" w:hAnsi="Times New Roman" w:cs="Times New Roman"/>
        </w:rPr>
        <w:t xml:space="preserve">) </w:t>
      </w:r>
      <w:r w:rsidRPr="00D014F1">
        <w:rPr>
          <w:rFonts w:ascii="Times New Roman" w:hAnsi="Times New Roman" w:cs="Times New Roman"/>
        </w:rPr>
        <w:t>[</w:t>
      </w:r>
      <w:r w:rsidR="009549FF">
        <w:rPr>
          <w:rFonts w:ascii="Times New Roman" w:hAnsi="Times New Roman" w:cs="Times New Roman"/>
        </w:rPr>
        <w:t>13</w:t>
      </w:r>
      <w:r w:rsidRPr="00D014F1">
        <w:rPr>
          <w:rFonts w:ascii="Times New Roman" w:hAnsi="Times New Roman" w:cs="Times New Roman"/>
        </w:rPr>
        <w:t xml:space="preserve">]. While lack of transportation and/or the loss of the ability to self-drive may be contributory to loneliness experienced in older populations, disregarding the influence these factors have on patients accessing healthcare would be remiss. Transportation enables patients to obtain agency and quality of life. Consequently, a lack of transportation can prevent patients from engaging not only in the healthcare system but also immersing themselves in their own communities. </w:t>
      </w:r>
    </w:p>
    <w:p w14:paraId="050FB69F" w14:textId="08987DC9" w:rsidR="009549FF" w:rsidRDefault="00D014F1" w:rsidP="002D25AF">
      <w:pPr>
        <w:spacing w:line="480" w:lineRule="auto"/>
        <w:ind w:firstLine="720"/>
        <w:rPr>
          <w:rFonts w:ascii="Times New Roman" w:hAnsi="Times New Roman" w:cs="Times New Roman"/>
        </w:rPr>
      </w:pPr>
      <w:r w:rsidRPr="00D014F1">
        <w:rPr>
          <w:rFonts w:ascii="Times New Roman" w:hAnsi="Times New Roman" w:cs="Times New Roman"/>
        </w:rPr>
        <w:t xml:space="preserve">In an increasingly more suburban environment, private transportation has become the predominant means by which individuals travel. While public transportation may be accessible to the general population, there are some aspects related to travel that may still prevent patients from seeking healthcare. Patients that have limited access to public transportation are less likely to engage with the healthcare system and have increased likelihood of delaying care. Additionally, even when public transportation is readily available, many patients may be impeded due to pre-existing illnesses. Most healthcare is isolated to clinics and hospitals, which </w:t>
      </w:r>
      <w:r w:rsidRPr="00D014F1">
        <w:rPr>
          <w:rFonts w:ascii="Times New Roman" w:hAnsi="Times New Roman" w:cs="Times New Roman"/>
        </w:rPr>
        <w:lastRenderedPageBreak/>
        <w:t>creates a barrier for patients in low socioeconomic conditions or those who live in areas where access is not readily available. As such, access to transportation is a vital resource that allows patients to both engage in healthcare as well as become agents for their own quality care.</w:t>
      </w:r>
      <w:r w:rsidR="00893B78">
        <w:rPr>
          <w:rFonts w:ascii="Times New Roman" w:hAnsi="Times New Roman" w:cs="Times New Roman"/>
        </w:rPr>
        <w:t xml:space="preserve">  </w:t>
      </w:r>
    </w:p>
    <w:p w14:paraId="215D477A" w14:textId="7E97150E" w:rsidR="00D014F1" w:rsidRPr="009549FF" w:rsidRDefault="00D014F1" w:rsidP="00D014F1">
      <w:pPr>
        <w:spacing w:line="480" w:lineRule="auto"/>
        <w:rPr>
          <w:rFonts w:ascii="Times New Roman" w:hAnsi="Times New Roman" w:cs="Times New Roman"/>
        </w:rPr>
      </w:pPr>
      <w:r w:rsidRPr="00D014F1">
        <w:rPr>
          <w:rFonts w:ascii="Times New Roman" w:hAnsi="Times New Roman" w:cs="Times New Roman"/>
          <w:b/>
          <w:bCs/>
          <w:u w:val="single"/>
        </w:rPr>
        <w:t>Impact of the Program on My View Towards a Career in Healthcare</w:t>
      </w:r>
    </w:p>
    <w:p w14:paraId="418F0A8B" w14:textId="02B78C21" w:rsidR="00600A1D" w:rsidRDefault="00D014F1" w:rsidP="00D014F1">
      <w:pPr>
        <w:spacing w:line="480" w:lineRule="auto"/>
        <w:ind w:firstLine="720"/>
        <w:rPr>
          <w:rFonts w:ascii="Times New Roman" w:hAnsi="Times New Roman" w:cs="Times New Roman"/>
        </w:rPr>
      </w:pPr>
      <w:r w:rsidRPr="00D014F1">
        <w:rPr>
          <w:rFonts w:ascii="Times New Roman" w:hAnsi="Times New Roman" w:cs="Times New Roman"/>
        </w:rPr>
        <w:t xml:space="preserve">My understanding of medical practice and healthcare has expanded greatly after my experiences in the </w:t>
      </w:r>
      <w:r w:rsidR="00924067">
        <w:rPr>
          <w:rFonts w:ascii="Times New Roman" w:hAnsi="Times New Roman" w:cs="Times New Roman"/>
        </w:rPr>
        <w:t xml:space="preserve">MMSc. in BMS </w:t>
      </w:r>
      <w:r w:rsidRPr="00D014F1">
        <w:rPr>
          <w:rFonts w:ascii="Times New Roman" w:hAnsi="Times New Roman" w:cs="Times New Roman"/>
        </w:rPr>
        <w:t xml:space="preserve">Program. Shadowing physicians in the clinical setting allowed me to observe the significance of provider-patient interactions and how a conscientious relationship built on trust, mutual understanding, and compassion is crucial </w:t>
      </w:r>
      <w:r w:rsidR="000A7CCF">
        <w:rPr>
          <w:rFonts w:ascii="Times New Roman" w:hAnsi="Times New Roman" w:cs="Times New Roman"/>
        </w:rPr>
        <w:t xml:space="preserve">for </w:t>
      </w:r>
      <w:r w:rsidRPr="00D014F1">
        <w:rPr>
          <w:rFonts w:ascii="Times New Roman" w:hAnsi="Times New Roman" w:cs="Times New Roman"/>
        </w:rPr>
        <w:t>quality care. Furthermore, the courses that I undertook in the program provided me with a foundational understanding of biochemistry and medical research, which has enabled me to</w:t>
      </w:r>
      <w:r w:rsidR="00EA209A">
        <w:rPr>
          <w:rFonts w:ascii="Times New Roman" w:hAnsi="Times New Roman" w:cs="Times New Roman"/>
        </w:rPr>
        <w:t xml:space="preserve"> both scrutinize scientific literature and formulate my own inquiries. Most importantly, I believe that</w:t>
      </w:r>
      <w:r w:rsidR="00600A1D">
        <w:rPr>
          <w:rFonts w:ascii="Times New Roman" w:hAnsi="Times New Roman" w:cs="Times New Roman"/>
        </w:rPr>
        <w:t xml:space="preserve"> this program has encouraged me to challenge my own preconceived views of medicine and why I wish to pursue a career in healthcare. </w:t>
      </w:r>
    </w:p>
    <w:p w14:paraId="4F9C79FD" w14:textId="426C1D9B" w:rsidR="003E6179" w:rsidRDefault="00600A1D" w:rsidP="00600A1D">
      <w:pPr>
        <w:spacing w:line="480" w:lineRule="auto"/>
        <w:ind w:firstLine="720"/>
        <w:rPr>
          <w:rFonts w:ascii="Times New Roman" w:hAnsi="Times New Roman" w:cs="Times New Roman"/>
        </w:rPr>
      </w:pPr>
      <w:r>
        <w:rPr>
          <w:rFonts w:ascii="Times New Roman" w:hAnsi="Times New Roman" w:cs="Times New Roman"/>
        </w:rPr>
        <w:t>I once viewed medicine as an incidental treatment, a product that could mitigate or resolve the symptoms of a condition.</w:t>
      </w:r>
      <w:r w:rsidR="00EA209A">
        <w:rPr>
          <w:rFonts w:ascii="Times New Roman" w:hAnsi="Times New Roman" w:cs="Times New Roman"/>
        </w:rPr>
        <w:t xml:space="preserve"> </w:t>
      </w:r>
      <w:r>
        <w:rPr>
          <w:rFonts w:ascii="Times New Roman" w:hAnsi="Times New Roman" w:cs="Times New Roman"/>
        </w:rPr>
        <w:t>However, the practice of medicine is primarily focused on maintenance and preventative care. While many ailments can be successfully treated with proper intervention, chronic conditions require support and a</w:t>
      </w:r>
      <w:r w:rsidR="0063684A">
        <w:rPr>
          <w:rFonts w:ascii="Times New Roman" w:hAnsi="Times New Roman" w:cs="Times New Roman"/>
        </w:rPr>
        <w:t>n</w:t>
      </w:r>
      <w:r>
        <w:rPr>
          <w:rFonts w:ascii="Times New Roman" w:hAnsi="Times New Roman" w:cs="Times New Roman"/>
        </w:rPr>
        <w:t xml:space="preserve"> individualized plan of care. The goal of a physician is to provide their </w:t>
      </w:r>
      <w:r w:rsidR="003E6179">
        <w:rPr>
          <w:rFonts w:ascii="Times New Roman" w:hAnsi="Times New Roman" w:cs="Times New Roman"/>
        </w:rPr>
        <w:t xml:space="preserve">patients with the tools necessary for them to live and maintain a quality of life. However, </w:t>
      </w:r>
      <w:r w:rsidR="00A80237">
        <w:rPr>
          <w:rFonts w:ascii="Times New Roman" w:hAnsi="Times New Roman" w:cs="Times New Roman"/>
        </w:rPr>
        <w:t>success quality</w:t>
      </w:r>
      <w:r w:rsidR="00924067">
        <w:rPr>
          <w:rFonts w:ascii="Times New Roman" w:hAnsi="Times New Roman" w:cs="Times New Roman"/>
        </w:rPr>
        <w:t xml:space="preserve"> of care in medicine</w:t>
      </w:r>
      <w:r w:rsidR="003E6179">
        <w:rPr>
          <w:rFonts w:ascii="Times New Roman" w:hAnsi="Times New Roman" w:cs="Times New Roman"/>
        </w:rPr>
        <w:t xml:space="preserve"> does not necessarily hinge on </w:t>
      </w:r>
      <w:r w:rsidR="00924067">
        <w:rPr>
          <w:rFonts w:ascii="Times New Roman" w:hAnsi="Times New Roman" w:cs="Times New Roman"/>
        </w:rPr>
        <w:t xml:space="preserve">one specific </w:t>
      </w:r>
      <w:r w:rsidR="003E6179">
        <w:rPr>
          <w:rFonts w:ascii="Times New Roman" w:hAnsi="Times New Roman" w:cs="Times New Roman"/>
        </w:rPr>
        <w:t>outcome</w:t>
      </w:r>
      <w:r w:rsidR="00924067">
        <w:rPr>
          <w:rFonts w:ascii="Times New Roman" w:hAnsi="Times New Roman" w:cs="Times New Roman"/>
        </w:rPr>
        <w:t xml:space="preserve"> but</w:t>
      </w:r>
      <w:r w:rsidR="003E6179">
        <w:rPr>
          <w:rFonts w:ascii="Times New Roman" w:hAnsi="Times New Roman" w:cs="Times New Roman"/>
        </w:rPr>
        <w:t xml:space="preserve"> rather hinges on a physician’s ability to establish a relationship of trust and empathy with their patients. </w:t>
      </w:r>
      <w:r w:rsidR="00740D88">
        <w:rPr>
          <w:rFonts w:ascii="Times New Roman" w:hAnsi="Times New Roman" w:cs="Times New Roman"/>
        </w:rPr>
        <w:t xml:space="preserve">Therefore, a competent healthcare provider is one that is able to communicate effectively with their patients and </w:t>
      </w:r>
      <w:r w:rsidR="00021AB5">
        <w:rPr>
          <w:rFonts w:ascii="Times New Roman" w:hAnsi="Times New Roman" w:cs="Times New Roman"/>
        </w:rPr>
        <w:t xml:space="preserve">members of the </w:t>
      </w:r>
      <w:r w:rsidR="00A80237">
        <w:rPr>
          <w:rFonts w:ascii="Times New Roman" w:hAnsi="Times New Roman" w:cs="Times New Roman"/>
        </w:rPr>
        <w:t>healthcare team</w:t>
      </w:r>
      <w:r w:rsidR="00740D88">
        <w:rPr>
          <w:rFonts w:ascii="Times New Roman" w:hAnsi="Times New Roman" w:cs="Times New Roman"/>
        </w:rPr>
        <w:t xml:space="preserve"> as well as develop a suitable plan of care that considers the quality of life of their patients. </w:t>
      </w:r>
    </w:p>
    <w:p w14:paraId="128BE61F" w14:textId="41183CEE" w:rsidR="00EA209A" w:rsidRDefault="003E6179" w:rsidP="00600A1D">
      <w:pPr>
        <w:spacing w:line="480" w:lineRule="auto"/>
        <w:ind w:firstLine="720"/>
        <w:rPr>
          <w:rFonts w:ascii="Times New Roman" w:hAnsi="Times New Roman" w:cs="Times New Roman"/>
        </w:rPr>
      </w:pPr>
      <w:r>
        <w:rPr>
          <w:rFonts w:ascii="Times New Roman" w:hAnsi="Times New Roman" w:cs="Times New Roman"/>
        </w:rPr>
        <w:lastRenderedPageBreak/>
        <w:t xml:space="preserve">As </w:t>
      </w:r>
      <w:r w:rsidR="0063684A">
        <w:rPr>
          <w:rFonts w:ascii="Times New Roman" w:hAnsi="Times New Roman" w:cs="Times New Roman"/>
        </w:rPr>
        <w:t xml:space="preserve">my journey in this program ends and </w:t>
      </w:r>
      <w:r>
        <w:rPr>
          <w:rFonts w:ascii="Times New Roman" w:hAnsi="Times New Roman" w:cs="Times New Roman"/>
        </w:rPr>
        <w:t xml:space="preserve">I </w:t>
      </w:r>
      <w:r w:rsidR="0063684A">
        <w:rPr>
          <w:rFonts w:ascii="Times New Roman" w:hAnsi="Times New Roman" w:cs="Times New Roman"/>
        </w:rPr>
        <w:t>look forward to</w:t>
      </w:r>
      <w:r>
        <w:rPr>
          <w:rFonts w:ascii="Times New Roman" w:hAnsi="Times New Roman" w:cs="Times New Roman"/>
        </w:rPr>
        <w:t xml:space="preserve"> applying </w:t>
      </w:r>
      <w:r w:rsidR="0063684A">
        <w:rPr>
          <w:rFonts w:ascii="Times New Roman" w:hAnsi="Times New Roman" w:cs="Times New Roman"/>
        </w:rPr>
        <w:t>to</w:t>
      </w:r>
      <w:r>
        <w:rPr>
          <w:rFonts w:ascii="Times New Roman" w:hAnsi="Times New Roman" w:cs="Times New Roman"/>
        </w:rPr>
        <w:t xml:space="preserve"> medical </w:t>
      </w:r>
      <w:r w:rsidR="00740D88">
        <w:rPr>
          <w:rFonts w:ascii="Times New Roman" w:hAnsi="Times New Roman" w:cs="Times New Roman"/>
        </w:rPr>
        <w:t>school</w:t>
      </w:r>
      <w:r>
        <w:rPr>
          <w:rFonts w:ascii="Times New Roman" w:hAnsi="Times New Roman" w:cs="Times New Roman"/>
        </w:rPr>
        <w:t xml:space="preserve">, </w:t>
      </w:r>
      <w:r w:rsidR="00740D88">
        <w:rPr>
          <w:rFonts w:ascii="Times New Roman" w:hAnsi="Times New Roman" w:cs="Times New Roman"/>
        </w:rPr>
        <w:t>I believe</w:t>
      </w:r>
      <w:r>
        <w:rPr>
          <w:rFonts w:ascii="Times New Roman" w:hAnsi="Times New Roman" w:cs="Times New Roman"/>
        </w:rPr>
        <w:t xml:space="preserve"> that my time at Miami University has equipped </w:t>
      </w:r>
      <w:r w:rsidR="00924067">
        <w:rPr>
          <w:rFonts w:ascii="Times New Roman" w:hAnsi="Times New Roman" w:cs="Times New Roman"/>
        </w:rPr>
        <w:t xml:space="preserve">me </w:t>
      </w:r>
      <w:r>
        <w:rPr>
          <w:rFonts w:ascii="Times New Roman" w:hAnsi="Times New Roman" w:cs="Times New Roman"/>
        </w:rPr>
        <w:t xml:space="preserve">with the skills and knowledge necessary for </w:t>
      </w:r>
      <w:r w:rsidR="00740D88">
        <w:rPr>
          <w:rFonts w:ascii="Times New Roman" w:hAnsi="Times New Roman" w:cs="Times New Roman"/>
        </w:rPr>
        <w:t xml:space="preserve">pursuing a career </w:t>
      </w:r>
      <w:r w:rsidR="00BD28D0">
        <w:rPr>
          <w:rFonts w:ascii="Times New Roman" w:hAnsi="Times New Roman" w:cs="Times New Roman"/>
        </w:rPr>
        <w:t>driven by compassion</w:t>
      </w:r>
      <w:r w:rsidR="00740D88">
        <w:rPr>
          <w:rFonts w:ascii="Times New Roman" w:hAnsi="Times New Roman" w:cs="Times New Roman"/>
        </w:rPr>
        <w:t xml:space="preserve"> and integrity. </w:t>
      </w:r>
      <w:r w:rsidR="00BD28D0">
        <w:rPr>
          <w:rFonts w:ascii="Times New Roman" w:hAnsi="Times New Roman" w:cs="Times New Roman"/>
        </w:rPr>
        <w:t>While I have always desired to practice medicine, I have a greater understanding of the role that physicians play in a patient’s</w:t>
      </w:r>
      <w:r w:rsidR="0063684A">
        <w:rPr>
          <w:rFonts w:ascii="Times New Roman" w:hAnsi="Times New Roman" w:cs="Times New Roman"/>
        </w:rPr>
        <w:t xml:space="preserve"> life </w:t>
      </w:r>
      <w:r w:rsidR="00BD28D0">
        <w:rPr>
          <w:rFonts w:ascii="Times New Roman" w:hAnsi="Times New Roman" w:cs="Times New Roman"/>
        </w:rPr>
        <w:t xml:space="preserve">and the barriers that discourage patients from interacting with healthcare. As such, I will aspire to become a provider who acts as both a resource to navigate healthcare and as a foundation from which patients can find support.  </w:t>
      </w:r>
    </w:p>
    <w:p w14:paraId="11C456C4" w14:textId="77777777" w:rsidR="00EA209A" w:rsidRDefault="00EA209A">
      <w:pPr>
        <w:rPr>
          <w:rFonts w:ascii="Times New Roman" w:hAnsi="Times New Roman" w:cs="Times New Roman"/>
        </w:rPr>
      </w:pPr>
      <w:r>
        <w:rPr>
          <w:rFonts w:ascii="Times New Roman" w:hAnsi="Times New Roman" w:cs="Times New Roman"/>
        </w:rPr>
        <w:br w:type="page"/>
      </w:r>
    </w:p>
    <w:p w14:paraId="32F67258" w14:textId="4F9FE1E2" w:rsidR="00D014F1" w:rsidRPr="00EA209A" w:rsidRDefault="00D014F1" w:rsidP="00EA209A">
      <w:pPr>
        <w:rPr>
          <w:rFonts w:ascii="Times New Roman" w:hAnsi="Times New Roman" w:cs="Times New Roman"/>
        </w:rPr>
      </w:pPr>
      <w:r w:rsidRPr="00D014F1">
        <w:rPr>
          <w:rFonts w:ascii="Times New Roman" w:hAnsi="Times New Roman" w:cs="Times New Roman"/>
          <w:b/>
          <w:bCs/>
          <w:u w:val="single"/>
        </w:rPr>
        <w:lastRenderedPageBreak/>
        <w:t>References</w:t>
      </w:r>
    </w:p>
    <w:p w14:paraId="338D57A3" w14:textId="7538F6A2"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Fan, V. S., Burman, M., McDonell, M. B., &amp; Fihn, S. D. (2005). Continuity of care and other determinants of patient satisfaction with primary care. Journal of general internal medicine, 20(3), 226–233. https://doi.org/10.1111/j.1525-1497.2005.40135.x</w:t>
      </w:r>
    </w:p>
    <w:p w14:paraId="5067CE7F" w14:textId="77777777" w:rsidR="00D014F1" w:rsidRPr="00D014F1" w:rsidRDefault="00D014F1" w:rsidP="00D014F1">
      <w:pPr>
        <w:spacing w:line="240" w:lineRule="auto"/>
        <w:rPr>
          <w:rFonts w:ascii="Times New Roman" w:hAnsi="Times New Roman" w:cs="Times New Roman"/>
        </w:rPr>
      </w:pPr>
    </w:p>
    <w:p w14:paraId="3969C683" w14:textId="79227BB5" w:rsidR="00D014F1" w:rsidRPr="00D014F1" w:rsidRDefault="00D014F1" w:rsidP="00D014F1">
      <w:pPr>
        <w:pStyle w:val="ListParagraph"/>
        <w:numPr>
          <w:ilvl w:val="0"/>
          <w:numId w:val="2"/>
        </w:numPr>
        <w:spacing w:line="240" w:lineRule="auto"/>
        <w:rPr>
          <w:rFonts w:ascii="Times New Roman" w:hAnsi="Times New Roman" w:cs="Times New Roman"/>
        </w:rPr>
      </w:pPr>
      <w:r w:rsidRPr="00832FE0">
        <w:rPr>
          <w:rFonts w:ascii="Times New Roman" w:hAnsi="Times New Roman" w:cs="Times New Roman"/>
          <w:lang w:val="pt-BR"/>
        </w:rPr>
        <w:t xml:space="preserve">Cooper, M. I., Grimm, A. F., Adhikari, S., Zeber, J. E., &amp; Geissler, K. H. (2026). </w:t>
      </w:r>
      <w:r w:rsidRPr="00D014F1">
        <w:rPr>
          <w:rFonts w:ascii="Times New Roman" w:hAnsi="Times New Roman" w:cs="Times New Roman"/>
        </w:rPr>
        <w:t>Continuity of Care and Patient Outcomes in Populations With Schizophrenia: A Systematic Review. Psychiatric services (Washington, D.C.), 77(3), 250–260. https://doi.org/10.1176/appi.ps.20240545</w:t>
      </w:r>
    </w:p>
    <w:p w14:paraId="29F16A68" w14:textId="77777777" w:rsidR="00D014F1" w:rsidRPr="00D014F1" w:rsidRDefault="00D014F1" w:rsidP="00D014F1">
      <w:pPr>
        <w:spacing w:line="240" w:lineRule="auto"/>
        <w:rPr>
          <w:rFonts w:ascii="Times New Roman" w:hAnsi="Times New Roman" w:cs="Times New Roman"/>
        </w:rPr>
      </w:pPr>
    </w:p>
    <w:p w14:paraId="2D8BD0F4" w14:textId="7E2B599E"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Barker, I., Steventon, A., &amp; Deeny, S. R. (2017). Association between continuity of care in general practice and hospital admissions for ambulatory care sensitive conditions: Cross sectional study of routinely collected person level data. BMJ, 356, j84. https://doi.org/10.1136/bmj.j84</w:t>
      </w:r>
    </w:p>
    <w:p w14:paraId="67DBEAD1" w14:textId="77777777" w:rsidR="00D014F1" w:rsidRPr="00D014F1" w:rsidRDefault="00D014F1" w:rsidP="00D014F1">
      <w:pPr>
        <w:spacing w:line="240" w:lineRule="auto"/>
        <w:rPr>
          <w:rFonts w:ascii="Times New Roman" w:hAnsi="Times New Roman" w:cs="Times New Roman"/>
        </w:rPr>
      </w:pPr>
    </w:p>
    <w:p w14:paraId="7ACC4D62" w14:textId="26556D55" w:rsidR="00D014F1" w:rsidRPr="00D014F1" w:rsidRDefault="00D014F1" w:rsidP="00D014F1">
      <w:pPr>
        <w:pStyle w:val="ListParagraph"/>
        <w:numPr>
          <w:ilvl w:val="0"/>
          <w:numId w:val="2"/>
        </w:numPr>
        <w:spacing w:line="240" w:lineRule="auto"/>
        <w:rPr>
          <w:rFonts w:ascii="Times New Roman" w:hAnsi="Times New Roman" w:cs="Times New Roman"/>
        </w:rPr>
      </w:pPr>
      <w:r w:rsidRPr="00832FE0">
        <w:rPr>
          <w:rFonts w:ascii="Times New Roman" w:hAnsi="Times New Roman" w:cs="Times New Roman"/>
          <w:lang w:val="es-ES"/>
        </w:rPr>
        <w:t xml:space="preserve">Bharucha A, Kudva Y, Prichard D. (2019) Diabetic Gastroparesis. </w:t>
      </w:r>
      <w:r w:rsidRPr="00D014F1">
        <w:rPr>
          <w:rFonts w:ascii="Times New Roman" w:hAnsi="Times New Roman" w:cs="Times New Roman"/>
        </w:rPr>
        <w:t>Endocrine Reviews, 40(5), 1318-1352. https://doi:10.1210/er.2018-00161</w:t>
      </w:r>
    </w:p>
    <w:p w14:paraId="0AC1934E" w14:textId="77777777" w:rsidR="00D014F1" w:rsidRPr="00D014F1" w:rsidRDefault="00D014F1" w:rsidP="00D014F1">
      <w:pPr>
        <w:spacing w:line="240" w:lineRule="auto"/>
        <w:rPr>
          <w:rFonts w:ascii="Times New Roman" w:hAnsi="Times New Roman" w:cs="Times New Roman"/>
        </w:rPr>
      </w:pPr>
    </w:p>
    <w:p w14:paraId="3F3CBDA0" w14:textId="6ACD1E00"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 xml:space="preserve">Aswath G, Foris L, Ashwath A, Patel K. (2023), Diabetic </w:t>
      </w:r>
      <w:r w:rsidR="00A80237" w:rsidRPr="00D014F1">
        <w:rPr>
          <w:rFonts w:ascii="Times New Roman" w:hAnsi="Times New Roman" w:cs="Times New Roman"/>
        </w:rPr>
        <w:t>Gastroparesis (</w:t>
      </w:r>
      <w:r w:rsidRPr="00D014F1">
        <w:rPr>
          <w:rFonts w:ascii="Times New Roman" w:hAnsi="Times New Roman" w:cs="Times New Roman"/>
        </w:rPr>
        <w:t>Archived). In StatPearls. StatPearls Publishing. https://www.ncbi.nlm.nih.gov/books/NBK430794/</w:t>
      </w:r>
    </w:p>
    <w:p w14:paraId="18437600" w14:textId="77777777" w:rsidR="00D014F1" w:rsidRPr="00D014F1" w:rsidRDefault="00D014F1" w:rsidP="00D014F1">
      <w:pPr>
        <w:spacing w:line="240" w:lineRule="auto"/>
        <w:rPr>
          <w:rFonts w:ascii="Times New Roman" w:hAnsi="Times New Roman" w:cs="Times New Roman"/>
        </w:rPr>
      </w:pPr>
    </w:p>
    <w:p w14:paraId="6F128D6D" w14:textId="4DB48A09"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Mayer C,  Fontelo P. (2024). Semaglutide use in people with obesity and type 2 diabetes from real-world utilization data: An analysis of the All of US Program. Diabetes, obesity &amp; metabolism, 26(11), 4989–4995. https://doi.org/10.1111/dom.15911</w:t>
      </w:r>
    </w:p>
    <w:p w14:paraId="35C88DFA" w14:textId="77777777" w:rsidR="00D014F1" w:rsidRPr="00D014F1" w:rsidRDefault="00D014F1" w:rsidP="00D014F1">
      <w:pPr>
        <w:spacing w:line="240" w:lineRule="auto"/>
        <w:rPr>
          <w:rFonts w:ascii="Times New Roman" w:hAnsi="Times New Roman" w:cs="Times New Roman"/>
        </w:rPr>
      </w:pPr>
    </w:p>
    <w:p w14:paraId="69FB8191" w14:textId="1657FB3D"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Sorli, C., Harashima, S., Tsoukas, G. M., Unger, J., Karsbøl, J. D., Hansen, T., &amp; Bain, S. C. (2017). Efficacy and safety of once-weekly semaglutide monotherapy versus placebo in patients with type 2 diabetes (SUSTAIN 1): A double-blind, randomised, placebo-controlled, parallel-group, multinational, multicentre phase 3a trial. The Lancet Diabetes &amp; Endocrinology, 5(4), 251–260. https://doi.org/10.1016/S2213-8587(17)30013-X</w:t>
      </w:r>
    </w:p>
    <w:p w14:paraId="70A67808" w14:textId="77777777" w:rsidR="00D014F1" w:rsidRPr="00D014F1" w:rsidRDefault="00D014F1" w:rsidP="00D014F1">
      <w:pPr>
        <w:spacing w:line="240" w:lineRule="auto"/>
        <w:rPr>
          <w:rFonts w:ascii="Times New Roman" w:hAnsi="Times New Roman" w:cs="Times New Roman"/>
        </w:rPr>
      </w:pPr>
    </w:p>
    <w:p w14:paraId="3D57BB60" w14:textId="6CF9AADE" w:rsidR="00D014F1" w:rsidRP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Davies M, Færch L, Jeppesen OK, et al. Semaglutide 2·4 mg once a week in adults with overweight or obesity, and type 2 diabetes (STEP 2): a randomised, double-blind, double-dummy, placebo-controlled, phase 3 trial. Lancet. 2021;397(10278):971-984. doi:10.1016/S0140-6736(21)00213-0</w:t>
      </w:r>
    </w:p>
    <w:p w14:paraId="69BC1E13" w14:textId="77777777" w:rsidR="00D014F1" w:rsidRPr="00D014F1" w:rsidRDefault="00D014F1" w:rsidP="00D014F1">
      <w:pPr>
        <w:spacing w:line="240" w:lineRule="auto"/>
        <w:rPr>
          <w:rFonts w:ascii="Times New Roman" w:hAnsi="Times New Roman" w:cs="Times New Roman"/>
        </w:rPr>
      </w:pPr>
    </w:p>
    <w:p w14:paraId="1152B276" w14:textId="2A8B7BB4" w:rsid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lastRenderedPageBreak/>
        <w:t>Togioka, B. M., &amp; Young, E. (2026). Diversity and Discrimination in Health Care. In StatPearls. StatPearls Publishing. http://www.ncbi.nlm.nih.gov/books/NBK568721/</w:t>
      </w:r>
    </w:p>
    <w:p w14:paraId="7985FDE3" w14:textId="77777777" w:rsidR="00A80237" w:rsidRPr="00A80237" w:rsidRDefault="00A80237" w:rsidP="00A80237">
      <w:pPr>
        <w:pStyle w:val="ListParagraph"/>
        <w:spacing w:line="240" w:lineRule="auto"/>
        <w:rPr>
          <w:rFonts w:ascii="Times New Roman" w:hAnsi="Times New Roman" w:cs="Times New Roman"/>
        </w:rPr>
      </w:pPr>
    </w:p>
    <w:p w14:paraId="6DDE702E" w14:textId="17848181" w:rsid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 xml:space="preserve">Vesel, L., Waller, K., Dowden, J., &amp; Fotso, J. C. (2015). Psychosocial support and resilience building among health workers in Sierra Leone: interrelations between coping skills, stress levels, and interpersonal relationships. BMC health services research, 15 Suppl 1(Suppl 1), S3. </w:t>
      </w:r>
      <w:hyperlink r:id="rId8" w:history="1">
        <w:r w:rsidRPr="009373DD">
          <w:rPr>
            <w:rStyle w:val="Hyperlink"/>
            <w:rFonts w:ascii="Times New Roman" w:hAnsi="Times New Roman" w:cs="Times New Roman"/>
          </w:rPr>
          <w:t>https://doi.org/10.1186/1472-6963-15-S1-S3</w:t>
        </w:r>
      </w:hyperlink>
    </w:p>
    <w:p w14:paraId="5168DE85" w14:textId="77777777" w:rsidR="00D014F1" w:rsidRPr="00D014F1" w:rsidRDefault="00D014F1" w:rsidP="00D014F1">
      <w:pPr>
        <w:pStyle w:val="ListParagraph"/>
        <w:rPr>
          <w:rFonts w:ascii="Times New Roman" w:hAnsi="Times New Roman" w:cs="Times New Roman"/>
        </w:rPr>
      </w:pPr>
    </w:p>
    <w:p w14:paraId="58355CED" w14:textId="03B6E3B4" w:rsid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 xml:space="preserve">Rask, K. J., Williams, M. V., Parker, R. M., &amp; McNagny, S. E. (1994). Obstacles Predicting Lack of a Regular Provider and Delays in Seeking Care for Patients at an Urban Public Hospital. JAMA, 271(24), 1931–1933. </w:t>
      </w:r>
      <w:hyperlink r:id="rId9" w:history="1">
        <w:r w:rsidRPr="009373DD">
          <w:rPr>
            <w:rStyle w:val="Hyperlink"/>
            <w:rFonts w:ascii="Times New Roman" w:hAnsi="Times New Roman" w:cs="Times New Roman"/>
          </w:rPr>
          <w:t>https://doi.org/10.1001/jama.1994.03510480055034</w:t>
        </w:r>
      </w:hyperlink>
    </w:p>
    <w:p w14:paraId="1A4A26F1" w14:textId="77777777" w:rsidR="00D014F1" w:rsidRPr="00D014F1" w:rsidRDefault="00D014F1" w:rsidP="00D014F1">
      <w:pPr>
        <w:pStyle w:val="ListParagraph"/>
        <w:rPr>
          <w:rFonts w:ascii="Times New Roman" w:hAnsi="Times New Roman" w:cs="Times New Roman"/>
        </w:rPr>
      </w:pPr>
    </w:p>
    <w:p w14:paraId="05C71DE9" w14:textId="1EBF95E6" w:rsidR="00D014F1" w:rsidRDefault="00D014F1" w:rsidP="00D014F1">
      <w:pPr>
        <w:pStyle w:val="ListParagraph"/>
        <w:numPr>
          <w:ilvl w:val="0"/>
          <w:numId w:val="2"/>
        </w:numPr>
        <w:spacing w:line="240" w:lineRule="auto"/>
        <w:rPr>
          <w:rFonts w:ascii="Times New Roman" w:hAnsi="Times New Roman" w:cs="Times New Roman"/>
        </w:rPr>
      </w:pPr>
      <w:r w:rsidRPr="00D014F1">
        <w:rPr>
          <w:rFonts w:ascii="Times New Roman" w:hAnsi="Times New Roman" w:cs="Times New Roman"/>
        </w:rPr>
        <w:t xml:space="preserve">Hensley, C., Heaton, P. C., Kahn, R. S., Luder, H. R., Frede, S. M., &amp; Beck, A. F. (2018). Poverty, Transportation Access, and Medication Nonadherence. Pediatrics, 141(4), e20173402. </w:t>
      </w:r>
      <w:hyperlink r:id="rId10" w:history="1">
        <w:r w:rsidRPr="009373DD">
          <w:rPr>
            <w:rStyle w:val="Hyperlink"/>
            <w:rFonts w:ascii="Times New Roman" w:hAnsi="Times New Roman" w:cs="Times New Roman"/>
          </w:rPr>
          <w:t>https://doi.org/10.1542/peds.2017-3402</w:t>
        </w:r>
      </w:hyperlink>
    </w:p>
    <w:p w14:paraId="36E64CC8" w14:textId="77777777" w:rsidR="00D014F1" w:rsidRPr="00D014F1" w:rsidRDefault="00D014F1" w:rsidP="00D014F1">
      <w:pPr>
        <w:pStyle w:val="ListParagraph"/>
        <w:rPr>
          <w:rFonts w:ascii="Times New Roman" w:hAnsi="Times New Roman" w:cs="Times New Roman"/>
        </w:rPr>
      </w:pPr>
    </w:p>
    <w:p w14:paraId="19A61CA9" w14:textId="1077C962" w:rsidR="00D014F1" w:rsidRPr="00D014F1" w:rsidRDefault="00D014F1" w:rsidP="00D014F1">
      <w:pPr>
        <w:pStyle w:val="ListParagraph"/>
        <w:numPr>
          <w:ilvl w:val="0"/>
          <w:numId w:val="2"/>
        </w:numPr>
        <w:spacing w:line="240" w:lineRule="auto"/>
        <w:rPr>
          <w:rFonts w:ascii="Times New Roman" w:hAnsi="Times New Roman" w:cs="Times New Roman"/>
        </w:rPr>
      </w:pPr>
      <w:r w:rsidRPr="00832FE0">
        <w:rPr>
          <w:rFonts w:ascii="Times New Roman" w:hAnsi="Times New Roman" w:cs="Times New Roman"/>
          <w:lang w:val="fr-FR"/>
        </w:rPr>
        <w:t xml:space="preserve">Choi, N. G., &amp; Marti, C. N. (2025). </w:t>
      </w:r>
      <w:r w:rsidRPr="00D014F1">
        <w:rPr>
          <w:rFonts w:ascii="Times New Roman" w:hAnsi="Times New Roman" w:cs="Times New Roman"/>
        </w:rPr>
        <w:t>Transportation barriers, loneliness, and depressive/anxiety symptoms in older adults. Innovation in aging, 9(12), igaf127. https://doi.org/10.1093/geroni/igaf127</w:t>
      </w:r>
    </w:p>
    <w:sectPr w:rsidR="00D014F1" w:rsidRPr="00D014F1" w:rsidSect="00EA209A">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22033" w14:textId="77777777" w:rsidR="00707867" w:rsidRDefault="00707867" w:rsidP="00D014F1">
      <w:pPr>
        <w:spacing w:after="0" w:line="240" w:lineRule="auto"/>
      </w:pPr>
      <w:r>
        <w:separator/>
      </w:r>
    </w:p>
  </w:endnote>
  <w:endnote w:type="continuationSeparator" w:id="0">
    <w:p w14:paraId="7D59E89B" w14:textId="77777777" w:rsidR="00707867" w:rsidRDefault="00707867" w:rsidP="00D01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34521"/>
      <w:docPartObj>
        <w:docPartGallery w:val="Page Numbers (Bottom of Page)"/>
        <w:docPartUnique/>
      </w:docPartObj>
    </w:sdtPr>
    <w:sdtEndPr/>
    <w:sdtContent>
      <w:p w14:paraId="0E8FBFF5" w14:textId="608F8BAA" w:rsidR="00D014F1" w:rsidRDefault="00D014F1">
        <w:pPr>
          <w:pStyle w:val="Footer"/>
        </w:pPr>
        <w:r>
          <w:rPr>
            <w:noProof/>
          </w:rPr>
          <mc:AlternateContent>
            <mc:Choice Requires="wps">
              <w:drawing>
                <wp:anchor distT="0" distB="0" distL="114300" distR="114300" simplePos="0" relativeHeight="251659264" behindDoc="0" locked="0" layoutInCell="1" allowOverlap="1" wp14:anchorId="018A8CA8" wp14:editId="27CA1CA2">
                  <wp:simplePos x="0" y="0"/>
                  <wp:positionH relativeFrom="rightMargin">
                    <wp:align>center</wp:align>
                  </wp:positionH>
                  <wp:positionV relativeFrom="bottomMargin">
                    <wp:align>center</wp:align>
                  </wp:positionV>
                  <wp:extent cx="565785" cy="191770"/>
                  <wp:effectExtent l="0" t="0" r="0" b="0"/>
                  <wp:wrapNone/>
                  <wp:docPr id="55418728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B42C653" w14:textId="77777777" w:rsidR="00D014F1" w:rsidRDefault="00D014F1">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2</w:t>
                              </w:r>
                              <w:r>
                                <w:rPr>
                                  <w:noProof/>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18A8CA8" id="Rectangle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3B42C653" w14:textId="77777777" w:rsidR="00D014F1" w:rsidRDefault="00D014F1">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2</w:t>
                        </w:r>
                        <w:r>
                          <w:rPr>
                            <w:noProof/>
                            <w:color w:val="E97132"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C003" w14:textId="77777777" w:rsidR="00707867" w:rsidRDefault="00707867" w:rsidP="00D014F1">
      <w:pPr>
        <w:spacing w:after="0" w:line="240" w:lineRule="auto"/>
      </w:pPr>
      <w:r>
        <w:separator/>
      </w:r>
    </w:p>
  </w:footnote>
  <w:footnote w:type="continuationSeparator" w:id="0">
    <w:p w14:paraId="28C1E298" w14:textId="77777777" w:rsidR="00707867" w:rsidRDefault="00707867" w:rsidP="00D01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00979"/>
    <w:multiLevelType w:val="hybridMultilevel"/>
    <w:tmpl w:val="012E9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F23E1A"/>
    <w:multiLevelType w:val="hybridMultilevel"/>
    <w:tmpl w:val="9A3A4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9018802">
    <w:abstractNumId w:val="1"/>
  </w:num>
  <w:num w:numId="2" w16cid:durableId="1491294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4F1"/>
    <w:rsid w:val="00021AB5"/>
    <w:rsid w:val="00041DE8"/>
    <w:rsid w:val="000428CC"/>
    <w:rsid w:val="00066BB0"/>
    <w:rsid w:val="000A7CCF"/>
    <w:rsid w:val="000C37AC"/>
    <w:rsid w:val="001064E2"/>
    <w:rsid w:val="001349AC"/>
    <w:rsid w:val="001501CC"/>
    <w:rsid w:val="001D5F70"/>
    <w:rsid w:val="001F1144"/>
    <w:rsid w:val="001F1AB4"/>
    <w:rsid w:val="001F383B"/>
    <w:rsid w:val="00280181"/>
    <w:rsid w:val="00287EC4"/>
    <w:rsid w:val="002C4AE4"/>
    <w:rsid w:val="002C547A"/>
    <w:rsid w:val="002D1F2A"/>
    <w:rsid w:val="002D25AF"/>
    <w:rsid w:val="002D6DCB"/>
    <w:rsid w:val="003076D6"/>
    <w:rsid w:val="00307C67"/>
    <w:rsid w:val="00371C8B"/>
    <w:rsid w:val="00373691"/>
    <w:rsid w:val="003A5F83"/>
    <w:rsid w:val="003B0D1E"/>
    <w:rsid w:val="003D6926"/>
    <w:rsid w:val="003E6179"/>
    <w:rsid w:val="003E627C"/>
    <w:rsid w:val="00454111"/>
    <w:rsid w:val="00480988"/>
    <w:rsid w:val="00492BA6"/>
    <w:rsid w:val="004E4067"/>
    <w:rsid w:val="00542D62"/>
    <w:rsid w:val="00551C30"/>
    <w:rsid w:val="005C2DDE"/>
    <w:rsid w:val="00600A1D"/>
    <w:rsid w:val="0062305F"/>
    <w:rsid w:val="006335D6"/>
    <w:rsid w:val="0063684A"/>
    <w:rsid w:val="00645C2E"/>
    <w:rsid w:val="006809CC"/>
    <w:rsid w:val="006C1BB2"/>
    <w:rsid w:val="00707867"/>
    <w:rsid w:val="00740D88"/>
    <w:rsid w:val="00754A4D"/>
    <w:rsid w:val="007C4565"/>
    <w:rsid w:val="007D365C"/>
    <w:rsid w:val="007D5C31"/>
    <w:rsid w:val="0080192C"/>
    <w:rsid w:val="00832FE0"/>
    <w:rsid w:val="0085026D"/>
    <w:rsid w:val="00893B78"/>
    <w:rsid w:val="008B434C"/>
    <w:rsid w:val="008E4D5B"/>
    <w:rsid w:val="008E590E"/>
    <w:rsid w:val="00911ECB"/>
    <w:rsid w:val="00924067"/>
    <w:rsid w:val="00951846"/>
    <w:rsid w:val="009549FF"/>
    <w:rsid w:val="00974127"/>
    <w:rsid w:val="00980158"/>
    <w:rsid w:val="00985FC6"/>
    <w:rsid w:val="00993AD5"/>
    <w:rsid w:val="009B68C3"/>
    <w:rsid w:val="009C54A4"/>
    <w:rsid w:val="00A51600"/>
    <w:rsid w:val="00A67FF1"/>
    <w:rsid w:val="00A80237"/>
    <w:rsid w:val="00B14166"/>
    <w:rsid w:val="00B24CDE"/>
    <w:rsid w:val="00B3523E"/>
    <w:rsid w:val="00B371AC"/>
    <w:rsid w:val="00B43DF2"/>
    <w:rsid w:val="00BC1D75"/>
    <w:rsid w:val="00BD28D0"/>
    <w:rsid w:val="00BE4A29"/>
    <w:rsid w:val="00C65424"/>
    <w:rsid w:val="00C76AF1"/>
    <w:rsid w:val="00C85649"/>
    <w:rsid w:val="00C86417"/>
    <w:rsid w:val="00CF6784"/>
    <w:rsid w:val="00D014F1"/>
    <w:rsid w:val="00D939D0"/>
    <w:rsid w:val="00DE2349"/>
    <w:rsid w:val="00E111DB"/>
    <w:rsid w:val="00E16A97"/>
    <w:rsid w:val="00E31B19"/>
    <w:rsid w:val="00E647E7"/>
    <w:rsid w:val="00E805CB"/>
    <w:rsid w:val="00EA209A"/>
    <w:rsid w:val="00EC7B59"/>
    <w:rsid w:val="00EF4B22"/>
    <w:rsid w:val="00F23417"/>
    <w:rsid w:val="00F74D61"/>
    <w:rsid w:val="00FC33BE"/>
    <w:rsid w:val="00FD3513"/>
    <w:rsid w:val="00FE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00218"/>
  <w15:chartTrackingRefBased/>
  <w15:docId w15:val="{E28DA847-DF53-4C78-8B17-5B276662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4F1"/>
    <w:rPr>
      <w:rFonts w:eastAsiaTheme="majorEastAsia" w:cstheme="majorBidi"/>
      <w:color w:val="272727" w:themeColor="text1" w:themeTint="D8"/>
    </w:rPr>
  </w:style>
  <w:style w:type="paragraph" w:styleId="Title">
    <w:name w:val="Title"/>
    <w:basedOn w:val="Normal"/>
    <w:next w:val="Normal"/>
    <w:link w:val="TitleChar"/>
    <w:uiPriority w:val="10"/>
    <w:qFormat/>
    <w:rsid w:val="00D01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4F1"/>
    <w:pPr>
      <w:spacing w:before="160"/>
      <w:jc w:val="center"/>
    </w:pPr>
    <w:rPr>
      <w:i/>
      <w:iCs/>
      <w:color w:val="404040" w:themeColor="text1" w:themeTint="BF"/>
    </w:rPr>
  </w:style>
  <w:style w:type="character" w:customStyle="1" w:styleId="QuoteChar">
    <w:name w:val="Quote Char"/>
    <w:basedOn w:val="DefaultParagraphFont"/>
    <w:link w:val="Quote"/>
    <w:uiPriority w:val="29"/>
    <w:rsid w:val="00D014F1"/>
    <w:rPr>
      <w:i/>
      <w:iCs/>
      <w:color w:val="404040" w:themeColor="text1" w:themeTint="BF"/>
    </w:rPr>
  </w:style>
  <w:style w:type="paragraph" w:styleId="ListParagraph">
    <w:name w:val="List Paragraph"/>
    <w:basedOn w:val="Normal"/>
    <w:uiPriority w:val="34"/>
    <w:qFormat/>
    <w:rsid w:val="00D014F1"/>
    <w:pPr>
      <w:ind w:left="720"/>
      <w:contextualSpacing/>
    </w:pPr>
  </w:style>
  <w:style w:type="character" w:styleId="IntenseEmphasis">
    <w:name w:val="Intense Emphasis"/>
    <w:basedOn w:val="DefaultParagraphFont"/>
    <w:uiPriority w:val="21"/>
    <w:qFormat/>
    <w:rsid w:val="00D014F1"/>
    <w:rPr>
      <w:i/>
      <w:iCs/>
      <w:color w:val="0F4761" w:themeColor="accent1" w:themeShade="BF"/>
    </w:rPr>
  </w:style>
  <w:style w:type="paragraph" w:styleId="IntenseQuote">
    <w:name w:val="Intense Quote"/>
    <w:basedOn w:val="Normal"/>
    <w:next w:val="Normal"/>
    <w:link w:val="IntenseQuoteChar"/>
    <w:uiPriority w:val="30"/>
    <w:qFormat/>
    <w:rsid w:val="00D01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4F1"/>
    <w:rPr>
      <w:i/>
      <w:iCs/>
      <w:color w:val="0F4761" w:themeColor="accent1" w:themeShade="BF"/>
    </w:rPr>
  </w:style>
  <w:style w:type="character" w:styleId="IntenseReference">
    <w:name w:val="Intense Reference"/>
    <w:basedOn w:val="DefaultParagraphFont"/>
    <w:uiPriority w:val="32"/>
    <w:qFormat/>
    <w:rsid w:val="00D014F1"/>
    <w:rPr>
      <w:b/>
      <w:bCs/>
      <w:smallCaps/>
      <w:color w:val="0F4761" w:themeColor="accent1" w:themeShade="BF"/>
      <w:spacing w:val="5"/>
    </w:rPr>
  </w:style>
  <w:style w:type="character" w:styleId="Hyperlink">
    <w:name w:val="Hyperlink"/>
    <w:basedOn w:val="DefaultParagraphFont"/>
    <w:uiPriority w:val="99"/>
    <w:unhideWhenUsed/>
    <w:rsid w:val="00D014F1"/>
    <w:rPr>
      <w:color w:val="467886" w:themeColor="hyperlink"/>
      <w:u w:val="single"/>
    </w:rPr>
  </w:style>
  <w:style w:type="character" w:styleId="UnresolvedMention">
    <w:name w:val="Unresolved Mention"/>
    <w:basedOn w:val="DefaultParagraphFont"/>
    <w:uiPriority w:val="99"/>
    <w:semiHidden/>
    <w:unhideWhenUsed/>
    <w:rsid w:val="00D014F1"/>
    <w:rPr>
      <w:color w:val="605E5C"/>
      <w:shd w:val="clear" w:color="auto" w:fill="E1DFDD"/>
    </w:rPr>
  </w:style>
  <w:style w:type="paragraph" w:styleId="Header">
    <w:name w:val="header"/>
    <w:basedOn w:val="Normal"/>
    <w:link w:val="HeaderChar"/>
    <w:uiPriority w:val="99"/>
    <w:unhideWhenUsed/>
    <w:rsid w:val="00D01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4F1"/>
  </w:style>
  <w:style w:type="paragraph" w:styleId="Footer">
    <w:name w:val="footer"/>
    <w:basedOn w:val="Normal"/>
    <w:link w:val="FooterChar"/>
    <w:uiPriority w:val="99"/>
    <w:unhideWhenUsed/>
    <w:rsid w:val="00D01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4F1"/>
  </w:style>
  <w:style w:type="paragraph" w:styleId="Revision">
    <w:name w:val="Revision"/>
    <w:hidden/>
    <w:uiPriority w:val="99"/>
    <w:semiHidden/>
    <w:rsid w:val="007D5C31"/>
    <w:pPr>
      <w:spacing w:after="0" w:line="240" w:lineRule="auto"/>
    </w:pPr>
  </w:style>
  <w:style w:type="character" w:styleId="CommentReference">
    <w:name w:val="annotation reference"/>
    <w:basedOn w:val="DefaultParagraphFont"/>
    <w:uiPriority w:val="99"/>
    <w:semiHidden/>
    <w:unhideWhenUsed/>
    <w:rsid w:val="007D5C31"/>
    <w:rPr>
      <w:sz w:val="16"/>
      <w:szCs w:val="16"/>
    </w:rPr>
  </w:style>
  <w:style w:type="paragraph" w:styleId="CommentText">
    <w:name w:val="annotation text"/>
    <w:basedOn w:val="Normal"/>
    <w:link w:val="CommentTextChar"/>
    <w:uiPriority w:val="99"/>
    <w:unhideWhenUsed/>
    <w:rsid w:val="007D5C31"/>
    <w:pPr>
      <w:spacing w:line="240" w:lineRule="auto"/>
    </w:pPr>
    <w:rPr>
      <w:sz w:val="20"/>
      <w:szCs w:val="20"/>
    </w:rPr>
  </w:style>
  <w:style w:type="character" w:customStyle="1" w:styleId="CommentTextChar">
    <w:name w:val="Comment Text Char"/>
    <w:basedOn w:val="DefaultParagraphFont"/>
    <w:link w:val="CommentText"/>
    <w:uiPriority w:val="99"/>
    <w:rsid w:val="007D5C31"/>
    <w:rPr>
      <w:sz w:val="20"/>
      <w:szCs w:val="20"/>
    </w:rPr>
  </w:style>
  <w:style w:type="paragraph" w:styleId="CommentSubject">
    <w:name w:val="annotation subject"/>
    <w:basedOn w:val="CommentText"/>
    <w:next w:val="CommentText"/>
    <w:link w:val="CommentSubjectChar"/>
    <w:uiPriority w:val="99"/>
    <w:semiHidden/>
    <w:unhideWhenUsed/>
    <w:rsid w:val="007D5C31"/>
    <w:rPr>
      <w:b/>
      <w:bCs/>
    </w:rPr>
  </w:style>
  <w:style w:type="character" w:customStyle="1" w:styleId="CommentSubjectChar">
    <w:name w:val="Comment Subject Char"/>
    <w:basedOn w:val="CommentTextChar"/>
    <w:link w:val="CommentSubject"/>
    <w:uiPriority w:val="99"/>
    <w:semiHidden/>
    <w:rsid w:val="007D5C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1472-6963-15-S1-S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542/peds.2017-3402" TargetMode="External"/><Relationship Id="rId4" Type="http://schemas.openxmlformats.org/officeDocument/2006/relationships/settings" Target="settings.xml"/><Relationship Id="rId9" Type="http://schemas.openxmlformats.org/officeDocument/2006/relationships/hyperlink" Target="https://doi.org/10.1001/jama.1994.03510480055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6538-E6CB-4FFE-91A6-749C0BCEF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6052</Words>
  <Characters>34500</Characters>
  <Application>Microsoft Office Word</Application>
  <DocSecurity>4</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Downer, Sheila A.</dc:creator>
  <cp:keywords/>
  <dc:description/>
  <cp:lastModifiedBy>David DeLaet</cp:lastModifiedBy>
  <cp:revision>2</cp:revision>
  <dcterms:created xsi:type="dcterms:W3CDTF">2026-05-14T17:14:00Z</dcterms:created>
  <dcterms:modified xsi:type="dcterms:W3CDTF">2026-05-14T17:14:00Z</dcterms:modified>
</cp:coreProperties>
</file>