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CAPSTONE REPORT: CUMULATIVE REFLECTION OF CLASSROOM AND EXPERIENTIAL LEARNING GAINED FROM THE BIOMEDICAL SCIENCE PROGRAM</w:t>
      </w:r>
    </w:p>
    <w:p w14:paraId="00000002" w14:textId="77777777" w:rsidR="00A4027D" w:rsidRDefault="00A4027D">
      <w:pPr>
        <w:jc w:val="center"/>
        <w:rPr>
          <w:rFonts w:ascii="Times New Roman" w:eastAsia="Times New Roman" w:hAnsi="Times New Roman" w:cs="Times New Roman"/>
          <w:sz w:val="24"/>
          <w:szCs w:val="24"/>
        </w:rPr>
      </w:pPr>
    </w:p>
    <w:p w14:paraId="00000003" w14:textId="77777777" w:rsidR="00A4027D" w:rsidRDefault="00A4027D">
      <w:pPr>
        <w:jc w:val="center"/>
        <w:rPr>
          <w:rFonts w:ascii="Times New Roman" w:eastAsia="Times New Roman" w:hAnsi="Times New Roman" w:cs="Times New Roman"/>
          <w:sz w:val="24"/>
          <w:szCs w:val="24"/>
        </w:rPr>
      </w:pPr>
    </w:p>
    <w:p w14:paraId="00000004" w14:textId="77777777" w:rsidR="00A4027D" w:rsidRDefault="00A4027D">
      <w:pPr>
        <w:jc w:val="center"/>
        <w:rPr>
          <w:rFonts w:ascii="Times New Roman" w:eastAsia="Times New Roman" w:hAnsi="Times New Roman" w:cs="Times New Roman"/>
          <w:sz w:val="24"/>
          <w:szCs w:val="24"/>
        </w:rPr>
      </w:pPr>
    </w:p>
    <w:p w14:paraId="00000005" w14:textId="77777777" w:rsidR="00A4027D" w:rsidRDefault="00A4027D">
      <w:pPr>
        <w:jc w:val="center"/>
        <w:rPr>
          <w:rFonts w:ascii="Times New Roman" w:eastAsia="Times New Roman" w:hAnsi="Times New Roman" w:cs="Times New Roman"/>
          <w:sz w:val="24"/>
          <w:szCs w:val="24"/>
        </w:rPr>
      </w:pPr>
    </w:p>
    <w:p w14:paraId="00000006" w14:textId="77777777" w:rsidR="00A4027D" w:rsidRDefault="00A4027D">
      <w:pPr>
        <w:jc w:val="center"/>
        <w:rPr>
          <w:rFonts w:ascii="Times New Roman" w:eastAsia="Times New Roman" w:hAnsi="Times New Roman" w:cs="Times New Roman"/>
          <w:sz w:val="24"/>
          <w:szCs w:val="24"/>
        </w:rPr>
      </w:pPr>
    </w:p>
    <w:p w14:paraId="00000007" w14:textId="77777777" w:rsidR="00A4027D" w:rsidRDefault="00A4027D">
      <w:pPr>
        <w:jc w:val="center"/>
        <w:rPr>
          <w:rFonts w:ascii="Times New Roman" w:eastAsia="Times New Roman" w:hAnsi="Times New Roman" w:cs="Times New Roman"/>
          <w:sz w:val="24"/>
          <w:szCs w:val="24"/>
        </w:rPr>
      </w:pPr>
    </w:p>
    <w:p w14:paraId="00000008"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Naomi Jackson</w:t>
      </w:r>
    </w:p>
    <w:p w14:paraId="00000009" w14:textId="77777777" w:rsidR="00A4027D" w:rsidRDefault="00A4027D">
      <w:pPr>
        <w:jc w:val="center"/>
        <w:rPr>
          <w:rFonts w:ascii="Times New Roman" w:eastAsia="Times New Roman" w:hAnsi="Times New Roman" w:cs="Times New Roman"/>
          <w:b/>
          <w:bCs/>
          <w:sz w:val="24"/>
          <w:szCs w:val="24"/>
        </w:rPr>
      </w:pPr>
    </w:p>
    <w:p w14:paraId="0000000A" w14:textId="77777777" w:rsidR="00A4027D" w:rsidRDefault="00A4027D">
      <w:pPr>
        <w:jc w:val="center"/>
        <w:rPr>
          <w:rFonts w:ascii="Times New Roman" w:eastAsia="Times New Roman" w:hAnsi="Times New Roman" w:cs="Times New Roman"/>
          <w:b/>
          <w:bCs/>
          <w:sz w:val="24"/>
          <w:szCs w:val="24"/>
        </w:rPr>
      </w:pPr>
    </w:p>
    <w:p w14:paraId="0000000B" w14:textId="77777777" w:rsidR="00A4027D" w:rsidRDefault="00A4027D">
      <w:pPr>
        <w:jc w:val="center"/>
        <w:rPr>
          <w:rFonts w:ascii="Times New Roman" w:eastAsia="Times New Roman" w:hAnsi="Times New Roman" w:cs="Times New Roman"/>
          <w:b/>
          <w:bCs/>
          <w:sz w:val="24"/>
          <w:szCs w:val="24"/>
        </w:rPr>
      </w:pPr>
    </w:p>
    <w:p w14:paraId="0000000C" w14:textId="77777777" w:rsidR="00A4027D" w:rsidRDefault="00A4027D">
      <w:pPr>
        <w:jc w:val="center"/>
        <w:rPr>
          <w:rFonts w:ascii="Times New Roman" w:eastAsia="Times New Roman" w:hAnsi="Times New Roman" w:cs="Times New Roman"/>
          <w:b/>
          <w:bCs/>
          <w:sz w:val="24"/>
          <w:szCs w:val="24"/>
        </w:rPr>
      </w:pPr>
    </w:p>
    <w:p w14:paraId="0000000D" w14:textId="77777777" w:rsidR="00A4027D" w:rsidRDefault="00A4027D">
      <w:pPr>
        <w:jc w:val="center"/>
        <w:rPr>
          <w:rFonts w:ascii="Times New Roman" w:eastAsia="Times New Roman" w:hAnsi="Times New Roman" w:cs="Times New Roman"/>
          <w:b/>
          <w:bCs/>
          <w:sz w:val="24"/>
          <w:szCs w:val="24"/>
        </w:rPr>
      </w:pPr>
    </w:p>
    <w:p w14:paraId="0000000E"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Presented to the Faculty of Miami University in partial </w:t>
      </w:r>
    </w:p>
    <w:p w14:paraId="0000000F"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fulfillment of the requirements </w:t>
      </w:r>
    </w:p>
    <w:p w14:paraId="00000010"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 the degree of</w:t>
      </w:r>
    </w:p>
    <w:p w14:paraId="00000011" w14:textId="77777777" w:rsidR="00A4027D" w:rsidRDefault="00A4027D">
      <w:pPr>
        <w:jc w:val="center"/>
        <w:rPr>
          <w:rFonts w:ascii="Times New Roman" w:eastAsia="Times New Roman" w:hAnsi="Times New Roman" w:cs="Times New Roman"/>
          <w:b/>
          <w:bCs/>
          <w:sz w:val="24"/>
          <w:szCs w:val="24"/>
        </w:rPr>
      </w:pPr>
    </w:p>
    <w:p w14:paraId="00000012"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Medical Science</w:t>
      </w:r>
    </w:p>
    <w:p w14:paraId="00000013" w14:textId="77777777" w:rsidR="00A4027D" w:rsidRDefault="00A4027D">
      <w:pPr>
        <w:jc w:val="center"/>
        <w:rPr>
          <w:rFonts w:ascii="Times New Roman" w:eastAsia="Times New Roman" w:hAnsi="Times New Roman" w:cs="Times New Roman"/>
          <w:sz w:val="24"/>
          <w:szCs w:val="24"/>
        </w:rPr>
      </w:pPr>
    </w:p>
    <w:p w14:paraId="00000014"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Biomedical Science</w:t>
      </w:r>
    </w:p>
    <w:p w14:paraId="00000015"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College of Arts &amp; Science</w:t>
      </w:r>
    </w:p>
    <w:p w14:paraId="00000016"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Graduate School</w:t>
      </w:r>
    </w:p>
    <w:p w14:paraId="00000017"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Miami University</w:t>
      </w:r>
    </w:p>
    <w:p w14:paraId="00000018"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Oxford, Ohio</w:t>
      </w:r>
    </w:p>
    <w:p w14:paraId="00000019" w14:textId="77777777" w:rsidR="00A4027D" w:rsidRDefault="00A4027D">
      <w:pPr>
        <w:jc w:val="center"/>
        <w:rPr>
          <w:rFonts w:ascii="Times New Roman" w:eastAsia="Times New Roman" w:hAnsi="Times New Roman" w:cs="Times New Roman"/>
          <w:sz w:val="24"/>
          <w:szCs w:val="24"/>
        </w:rPr>
      </w:pPr>
    </w:p>
    <w:p w14:paraId="0000001A" w14:textId="77777777" w:rsidR="00A4027D" w:rsidRDefault="00A4027D">
      <w:pPr>
        <w:jc w:val="center"/>
        <w:rPr>
          <w:rFonts w:ascii="Times New Roman" w:eastAsia="Times New Roman" w:hAnsi="Times New Roman" w:cs="Times New Roman"/>
          <w:sz w:val="24"/>
          <w:szCs w:val="24"/>
        </w:rPr>
      </w:pPr>
    </w:p>
    <w:p w14:paraId="0000001B" w14:textId="77777777" w:rsidR="00A4027D" w:rsidRDefault="00A4027D">
      <w:pPr>
        <w:jc w:val="center"/>
        <w:rPr>
          <w:rFonts w:ascii="Times New Roman" w:eastAsia="Times New Roman" w:hAnsi="Times New Roman" w:cs="Times New Roman"/>
          <w:sz w:val="24"/>
          <w:szCs w:val="24"/>
        </w:rPr>
      </w:pPr>
    </w:p>
    <w:p w14:paraId="0000001C" w14:textId="77777777" w:rsidR="00A4027D" w:rsidRDefault="009A47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0000001D" w14:textId="77777777" w:rsidR="00A4027D" w:rsidRDefault="00A4027D">
      <w:pPr>
        <w:jc w:val="center"/>
        <w:rPr>
          <w:rFonts w:ascii="Times New Roman" w:eastAsia="Times New Roman" w:hAnsi="Times New Roman" w:cs="Times New Roman"/>
          <w:b/>
          <w:bCs/>
          <w:sz w:val="24"/>
          <w:szCs w:val="24"/>
        </w:rPr>
      </w:pPr>
    </w:p>
    <w:p w14:paraId="0000001E" w14:textId="77777777" w:rsidR="00A4027D" w:rsidRDefault="00A4027D">
      <w:pPr>
        <w:jc w:val="center"/>
        <w:rPr>
          <w:rFonts w:ascii="Times New Roman" w:eastAsia="Times New Roman" w:hAnsi="Times New Roman" w:cs="Times New Roman"/>
          <w:b/>
          <w:bCs/>
          <w:sz w:val="24"/>
          <w:szCs w:val="24"/>
        </w:rPr>
      </w:pPr>
    </w:p>
    <w:p w14:paraId="0000001F" w14:textId="77777777" w:rsidR="00A4027D" w:rsidRDefault="00A4027D">
      <w:pPr>
        <w:jc w:val="center"/>
        <w:rPr>
          <w:rFonts w:ascii="Times New Roman" w:eastAsia="Times New Roman" w:hAnsi="Times New Roman" w:cs="Times New Roman"/>
          <w:b/>
          <w:bCs/>
          <w:sz w:val="24"/>
          <w:szCs w:val="24"/>
        </w:rPr>
      </w:pPr>
    </w:p>
    <w:p w14:paraId="00000020" w14:textId="77777777" w:rsidR="00A4027D" w:rsidRDefault="00A4027D">
      <w:pPr>
        <w:jc w:val="center"/>
        <w:rPr>
          <w:rFonts w:ascii="Times New Roman" w:eastAsia="Times New Roman" w:hAnsi="Times New Roman" w:cs="Times New Roman"/>
          <w:b/>
          <w:bCs/>
          <w:sz w:val="24"/>
          <w:szCs w:val="24"/>
        </w:rPr>
      </w:pPr>
    </w:p>
    <w:p w14:paraId="00000021" w14:textId="77777777" w:rsidR="00A4027D" w:rsidRDefault="00A4027D">
      <w:pPr>
        <w:jc w:val="center"/>
        <w:rPr>
          <w:rFonts w:ascii="Times New Roman" w:eastAsia="Times New Roman" w:hAnsi="Times New Roman" w:cs="Times New Roman"/>
          <w:b/>
          <w:bCs/>
          <w:sz w:val="24"/>
          <w:szCs w:val="24"/>
        </w:rPr>
      </w:pPr>
    </w:p>
    <w:p w14:paraId="00000022" w14:textId="77777777" w:rsidR="00A4027D" w:rsidRDefault="00A4027D">
      <w:pPr>
        <w:rPr>
          <w:rFonts w:ascii="Times New Roman" w:eastAsia="Times New Roman" w:hAnsi="Times New Roman" w:cs="Times New Roman"/>
          <w:b/>
          <w:bCs/>
          <w:sz w:val="24"/>
          <w:szCs w:val="24"/>
        </w:rPr>
      </w:pPr>
    </w:p>
    <w:p w14:paraId="00000023" w14:textId="77777777" w:rsidR="00A4027D" w:rsidRDefault="00A4027D">
      <w:pPr>
        <w:rPr>
          <w:rFonts w:ascii="Times New Roman" w:eastAsia="Times New Roman" w:hAnsi="Times New Roman" w:cs="Times New Roman"/>
          <w:b/>
          <w:bCs/>
          <w:sz w:val="24"/>
          <w:szCs w:val="24"/>
        </w:rPr>
      </w:pPr>
    </w:p>
    <w:p w14:paraId="00000024" w14:textId="77777777" w:rsidR="00A4027D" w:rsidRDefault="00A4027D">
      <w:pPr>
        <w:jc w:val="center"/>
        <w:rPr>
          <w:rFonts w:ascii="Times New Roman" w:eastAsia="Times New Roman" w:hAnsi="Times New Roman" w:cs="Times New Roman"/>
          <w:b/>
          <w:bCs/>
          <w:sz w:val="24"/>
          <w:szCs w:val="24"/>
        </w:rPr>
      </w:pPr>
    </w:p>
    <w:p w14:paraId="00000025" w14:textId="77777777" w:rsidR="00A4027D" w:rsidRDefault="009A47D6">
      <w:pPr>
        <w:rPr>
          <w:rFonts w:ascii="Times New Roman" w:eastAsia="Times New Roman" w:hAnsi="Times New Roman" w:cs="Times New Roman"/>
          <w:sz w:val="24"/>
          <w:szCs w:val="24"/>
        </w:rPr>
      </w:pPr>
      <w:r>
        <w:rPr>
          <w:rFonts w:ascii="Times New Roman" w:eastAsia="Times New Roman" w:hAnsi="Times New Roman" w:cs="Times New Roman"/>
          <w:sz w:val="24"/>
          <w:szCs w:val="24"/>
        </w:rPr>
        <w:t>Dr. Michael Crowder, Graduate Director</w:t>
      </w:r>
    </w:p>
    <w:p w14:paraId="00000026" w14:textId="77777777" w:rsidR="00A4027D" w:rsidRDefault="009A47D6">
      <w:pPr>
        <w:rPr>
          <w:rFonts w:ascii="Times New Roman" w:eastAsia="Times New Roman" w:hAnsi="Times New Roman" w:cs="Times New Roman"/>
          <w:sz w:val="24"/>
          <w:szCs w:val="24"/>
        </w:rPr>
      </w:pPr>
      <w:r>
        <w:rPr>
          <w:rFonts w:ascii="Times New Roman" w:eastAsia="Times New Roman" w:hAnsi="Times New Roman" w:cs="Times New Roman"/>
          <w:sz w:val="24"/>
          <w:szCs w:val="24"/>
        </w:rPr>
        <w:t>Dr. David DeLaet, Co-Director</w:t>
      </w:r>
    </w:p>
    <w:p w14:paraId="00000027" w14:textId="77777777" w:rsidR="00A4027D" w:rsidRDefault="009A47D6">
      <w:pPr>
        <w:rPr>
          <w:rFonts w:ascii="Times New Roman" w:eastAsia="Times New Roman" w:hAnsi="Times New Roman" w:cs="Times New Roman"/>
          <w:sz w:val="24"/>
          <w:szCs w:val="24"/>
        </w:rPr>
      </w:pPr>
      <w:r>
        <w:rPr>
          <w:rFonts w:ascii="Times New Roman" w:eastAsia="Times New Roman" w:hAnsi="Times New Roman" w:cs="Times New Roman"/>
          <w:sz w:val="24"/>
          <w:szCs w:val="24"/>
        </w:rPr>
        <w:t>Christopher Hackett, Graduate Committee Member</w:t>
      </w:r>
    </w:p>
    <w:p w14:paraId="00000028" w14:textId="77777777" w:rsidR="00A4027D" w:rsidRDefault="00A4027D">
      <w:pPr>
        <w:rPr>
          <w:rFonts w:ascii="Times New Roman" w:eastAsia="Times New Roman" w:hAnsi="Times New Roman" w:cs="Times New Roman"/>
          <w:sz w:val="24"/>
          <w:szCs w:val="24"/>
        </w:rPr>
      </w:pPr>
    </w:p>
    <w:p w14:paraId="00000029" w14:textId="77777777" w:rsidR="00A4027D" w:rsidRDefault="00A4027D">
      <w:pPr>
        <w:rPr>
          <w:rFonts w:ascii="Times New Roman" w:eastAsia="Times New Roman" w:hAnsi="Times New Roman" w:cs="Times New Roman"/>
          <w:sz w:val="24"/>
          <w:szCs w:val="24"/>
        </w:rPr>
      </w:pPr>
    </w:p>
    <w:p w14:paraId="0000002A" w14:textId="77777777" w:rsidR="00A4027D" w:rsidRDefault="00A4027D">
      <w:pPr>
        <w:rPr>
          <w:rFonts w:ascii="Times New Roman" w:eastAsia="Times New Roman" w:hAnsi="Times New Roman" w:cs="Times New Roman"/>
          <w:sz w:val="24"/>
          <w:szCs w:val="24"/>
        </w:rPr>
      </w:pPr>
    </w:p>
    <w:p w14:paraId="0000002B" w14:textId="77777777" w:rsidR="00A4027D" w:rsidRDefault="00A4027D">
      <w:pPr>
        <w:rPr>
          <w:rFonts w:ascii="Times New Roman" w:eastAsia="Times New Roman" w:hAnsi="Times New Roman" w:cs="Times New Roman"/>
          <w:sz w:val="24"/>
          <w:szCs w:val="24"/>
        </w:rPr>
      </w:pPr>
    </w:p>
    <w:p w14:paraId="0000002C" w14:textId="77777777" w:rsidR="00A4027D" w:rsidRDefault="00A4027D">
      <w:pPr>
        <w:rPr>
          <w:rFonts w:ascii="Times New Roman" w:eastAsia="Times New Roman" w:hAnsi="Times New Roman" w:cs="Times New Roman"/>
          <w:sz w:val="24"/>
          <w:szCs w:val="24"/>
        </w:rPr>
      </w:pPr>
    </w:p>
    <w:p w14:paraId="0000002D" w14:textId="77777777" w:rsidR="00A4027D" w:rsidRDefault="00A4027D">
      <w:pPr>
        <w:rPr>
          <w:rFonts w:ascii="Times New Roman" w:eastAsia="Times New Roman" w:hAnsi="Times New Roman" w:cs="Times New Roman"/>
          <w:sz w:val="24"/>
          <w:szCs w:val="24"/>
        </w:rPr>
      </w:pPr>
    </w:p>
    <w:p w14:paraId="0000002E" w14:textId="77777777" w:rsidR="00A4027D" w:rsidRDefault="00A4027D">
      <w:pPr>
        <w:rPr>
          <w:rFonts w:ascii="Times New Roman" w:eastAsia="Times New Roman" w:hAnsi="Times New Roman" w:cs="Times New Roman"/>
          <w:sz w:val="24"/>
          <w:szCs w:val="24"/>
        </w:rPr>
      </w:pPr>
    </w:p>
    <w:p w14:paraId="0000002F" w14:textId="77777777" w:rsidR="00A4027D" w:rsidRDefault="00A4027D">
      <w:pPr>
        <w:rPr>
          <w:rFonts w:ascii="Times New Roman" w:eastAsia="Times New Roman" w:hAnsi="Times New Roman" w:cs="Times New Roman"/>
          <w:sz w:val="24"/>
          <w:szCs w:val="24"/>
        </w:rPr>
      </w:pPr>
    </w:p>
    <w:p w14:paraId="00000030" w14:textId="77777777" w:rsidR="00A4027D" w:rsidRDefault="00A4027D">
      <w:pPr>
        <w:rPr>
          <w:rFonts w:ascii="Times New Roman" w:eastAsia="Times New Roman" w:hAnsi="Times New Roman" w:cs="Times New Roman"/>
          <w:sz w:val="24"/>
          <w:szCs w:val="24"/>
        </w:rPr>
      </w:pPr>
    </w:p>
    <w:p w14:paraId="00000031" w14:textId="77777777" w:rsidR="00A4027D" w:rsidRDefault="00A4027D">
      <w:pPr>
        <w:rPr>
          <w:rFonts w:ascii="Times New Roman" w:eastAsia="Times New Roman" w:hAnsi="Times New Roman" w:cs="Times New Roman"/>
          <w:sz w:val="24"/>
          <w:szCs w:val="24"/>
        </w:rPr>
      </w:pPr>
    </w:p>
    <w:p w14:paraId="00000032" w14:textId="77777777" w:rsidR="00A4027D" w:rsidRDefault="00A4027D">
      <w:pPr>
        <w:rPr>
          <w:rFonts w:ascii="Times New Roman" w:eastAsia="Times New Roman" w:hAnsi="Times New Roman" w:cs="Times New Roman"/>
          <w:sz w:val="24"/>
          <w:szCs w:val="24"/>
        </w:rPr>
      </w:pPr>
    </w:p>
    <w:p w14:paraId="00000033" w14:textId="77777777" w:rsidR="00A4027D" w:rsidRDefault="00A4027D">
      <w:pPr>
        <w:rPr>
          <w:rFonts w:ascii="Times New Roman" w:eastAsia="Times New Roman" w:hAnsi="Times New Roman" w:cs="Times New Roman"/>
          <w:sz w:val="24"/>
          <w:szCs w:val="24"/>
        </w:rPr>
      </w:pPr>
    </w:p>
    <w:p w14:paraId="00000034" w14:textId="77777777" w:rsidR="00A4027D" w:rsidRDefault="00A4027D">
      <w:pPr>
        <w:rPr>
          <w:rFonts w:ascii="Times New Roman" w:eastAsia="Times New Roman" w:hAnsi="Times New Roman" w:cs="Times New Roman"/>
          <w:sz w:val="24"/>
          <w:szCs w:val="24"/>
        </w:rPr>
      </w:pPr>
    </w:p>
    <w:p w14:paraId="00000035" w14:textId="77777777" w:rsidR="00A4027D" w:rsidRDefault="00A4027D">
      <w:pPr>
        <w:rPr>
          <w:rFonts w:ascii="Times New Roman" w:eastAsia="Times New Roman" w:hAnsi="Times New Roman" w:cs="Times New Roman"/>
          <w:sz w:val="24"/>
          <w:szCs w:val="24"/>
        </w:rPr>
      </w:pPr>
    </w:p>
    <w:p w14:paraId="00000036" w14:textId="77777777" w:rsidR="00A4027D" w:rsidRDefault="00A4027D">
      <w:pPr>
        <w:rPr>
          <w:rFonts w:ascii="Times New Roman" w:eastAsia="Times New Roman" w:hAnsi="Times New Roman" w:cs="Times New Roman"/>
          <w:sz w:val="24"/>
          <w:szCs w:val="24"/>
        </w:rPr>
      </w:pPr>
    </w:p>
    <w:p w14:paraId="00000037" w14:textId="77777777" w:rsidR="00A4027D" w:rsidRDefault="00A4027D">
      <w:pPr>
        <w:rPr>
          <w:rFonts w:ascii="Times New Roman" w:eastAsia="Times New Roman" w:hAnsi="Times New Roman" w:cs="Times New Roman"/>
          <w:sz w:val="24"/>
          <w:szCs w:val="24"/>
        </w:rPr>
      </w:pPr>
    </w:p>
    <w:p w14:paraId="00000038" w14:textId="77777777" w:rsidR="00A4027D" w:rsidRDefault="00A4027D">
      <w:pPr>
        <w:rPr>
          <w:rFonts w:ascii="Times New Roman" w:eastAsia="Times New Roman" w:hAnsi="Times New Roman" w:cs="Times New Roman"/>
          <w:sz w:val="24"/>
          <w:szCs w:val="24"/>
        </w:rPr>
      </w:pPr>
    </w:p>
    <w:p w14:paraId="00000039" w14:textId="77777777" w:rsidR="00A4027D" w:rsidRDefault="009A47D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3A" w14:textId="77777777" w:rsidR="00A4027D" w:rsidRDefault="009A47D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Naomi Jackson</w:t>
      </w:r>
    </w:p>
    <w:p w14:paraId="0000003B" w14:textId="77777777" w:rsidR="00A4027D" w:rsidRDefault="009A47D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p w14:paraId="0000003C" w14:textId="77777777" w:rsidR="00A4027D" w:rsidRDefault="00A4027D">
      <w:pPr>
        <w:rPr>
          <w:rFonts w:ascii="Times New Roman" w:eastAsia="Times New Roman" w:hAnsi="Times New Roman" w:cs="Times New Roman"/>
          <w:sz w:val="24"/>
          <w:szCs w:val="24"/>
        </w:rPr>
      </w:pPr>
    </w:p>
    <w:p w14:paraId="0000003D" w14:textId="77777777" w:rsidR="00A4027D" w:rsidRDefault="00A4027D">
      <w:pPr>
        <w:rPr>
          <w:rFonts w:ascii="Times New Roman" w:eastAsia="Times New Roman" w:hAnsi="Times New Roman" w:cs="Times New Roman"/>
          <w:sz w:val="24"/>
          <w:szCs w:val="24"/>
        </w:rPr>
      </w:pPr>
    </w:p>
    <w:p w14:paraId="0000003E" w14:textId="77777777" w:rsidR="00A4027D" w:rsidRDefault="00A4027D">
      <w:pPr>
        <w:rPr>
          <w:rFonts w:ascii="Times New Roman" w:eastAsia="Times New Roman" w:hAnsi="Times New Roman" w:cs="Times New Roman"/>
          <w:sz w:val="24"/>
          <w:szCs w:val="24"/>
        </w:rPr>
      </w:pPr>
    </w:p>
    <w:p w14:paraId="0000003F" w14:textId="77777777" w:rsidR="00A4027D" w:rsidRDefault="00A4027D">
      <w:pPr>
        <w:rPr>
          <w:rFonts w:ascii="Times New Roman" w:eastAsia="Times New Roman" w:hAnsi="Times New Roman" w:cs="Times New Roman"/>
          <w:sz w:val="24"/>
          <w:szCs w:val="24"/>
        </w:rPr>
      </w:pPr>
    </w:p>
    <w:p w14:paraId="00000040" w14:textId="77777777" w:rsidR="00A4027D" w:rsidRDefault="00A4027D">
      <w:pPr>
        <w:rPr>
          <w:rFonts w:ascii="Times New Roman" w:eastAsia="Times New Roman" w:hAnsi="Times New Roman" w:cs="Times New Roman"/>
          <w:sz w:val="24"/>
          <w:szCs w:val="24"/>
        </w:rPr>
      </w:pPr>
    </w:p>
    <w:p w14:paraId="00000041" w14:textId="77777777" w:rsidR="00A4027D" w:rsidRDefault="00A4027D">
      <w:pPr>
        <w:rPr>
          <w:rFonts w:ascii="Times New Roman" w:eastAsia="Times New Roman" w:hAnsi="Times New Roman" w:cs="Times New Roman"/>
          <w:sz w:val="24"/>
          <w:szCs w:val="24"/>
        </w:rPr>
      </w:pPr>
    </w:p>
    <w:p w14:paraId="00000042" w14:textId="77777777" w:rsidR="00A4027D" w:rsidRDefault="00A4027D">
      <w:pPr>
        <w:rPr>
          <w:rFonts w:ascii="Times New Roman" w:eastAsia="Times New Roman" w:hAnsi="Times New Roman" w:cs="Times New Roman"/>
          <w:sz w:val="24"/>
          <w:szCs w:val="24"/>
        </w:rPr>
      </w:pPr>
    </w:p>
    <w:p w14:paraId="00000043" w14:textId="77777777" w:rsidR="00A4027D" w:rsidRDefault="00A4027D">
      <w:pPr>
        <w:rPr>
          <w:rFonts w:ascii="Times New Roman" w:eastAsia="Times New Roman" w:hAnsi="Times New Roman" w:cs="Times New Roman"/>
          <w:sz w:val="24"/>
          <w:szCs w:val="24"/>
        </w:rPr>
      </w:pPr>
    </w:p>
    <w:p w14:paraId="00000044" w14:textId="77777777" w:rsidR="00A4027D" w:rsidRDefault="00A4027D">
      <w:pPr>
        <w:rPr>
          <w:rFonts w:ascii="Times New Roman" w:eastAsia="Times New Roman" w:hAnsi="Times New Roman" w:cs="Times New Roman"/>
          <w:sz w:val="24"/>
          <w:szCs w:val="24"/>
        </w:rPr>
      </w:pPr>
    </w:p>
    <w:p w14:paraId="00000045" w14:textId="77777777" w:rsidR="00A4027D" w:rsidRDefault="00A4027D">
      <w:pPr>
        <w:rPr>
          <w:rFonts w:ascii="Times New Roman" w:eastAsia="Times New Roman" w:hAnsi="Times New Roman" w:cs="Times New Roman"/>
          <w:sz w:val="24"/>
          <w:szCs w:val="24"/>
        </w:rPr>
      </w:pPr>
    </w:p>
    <w:p w14:paraId="00000046" w14:textId="77777777" w:rsidR="00A4027D" w:rsidRDefault="00A4027D">
      <w:pPr>
        <w:rPr>
          <w:rFonts w:ascii="Times New Roman" w:eastAsia="Times New Roman" w:hAnsi="Times New Roman" w:cs="Times New Roman"/>
          <w:sz w:val="24"/>
          <w:szCs w:val="24"/>
        </w:rPr>
      </w:pPr>
    </w:p>
    <w:p w14:paraId="00000047" w14:textId="77777777" w:rsidR="00A4027D" w:rsidRDefault="00A4027D">
      <w:pPr>
        <w:rPr>
          <w:rFonts w:ascii="Times New Roman" w:eastAsia="Times New Roman" w:hAnsi="Times New Roman" w:cs="Times New Roman"/>
          <w:sz w:val="24"/>
          <w:szCs w:val="24"/>
        </w:rPr>
      </w:pPr>
    </w:p>
    <w:p w14:paraId="00000048" w14:textId="77777777" w:rsidR="00A4027D" w:rsidRDefault="00A4027D">
      <w:pPr>
        <w:rPr>
          <w:rFonts w:ascii="Times New Roman" w:eastAsia="Times New Roman" w:hAnsi="Times New Roman" w:cs="Times New Roman"/>
          <w:sz w:val="24"/>
          <w:szCs w:val="24"/>
        </w:rPr>
      </w:pPr>
    </w:p>
    <w:p w14:paraId="00000049" w14:textId="77777777" w:rsidR="00A4027D" w:rsidRDefault="00A4027D">
      <w:pPr>
        <w:rPr>
          <w:rFonts w:ascii="Times New Roman" w:eastAsia="Times New Roman" w:hAnsi="Times New Roman" w:cs="Times New Roman"/>
          <w:sz w:val="24"/>
          <w:szCs w:val="24"/>
        </w:rPr>
      </w:pPr>
    </w:p>
    <w:p w14:paraId="0000004A" w14:textId="77777777" w:rsidR="00A4027D" w:rsidRDefault="00A4027D">
      <w:pPr>
        <w:rPr>
          <w:rFonts w:ascii="Times New Roman" w:eastAsia="Times New Roman" w:hAnsi="Times New Roman" w:cs="Times New Roman"/>
          <w:sz w:val="24"/>
          <w:szCs w:val="24"/>
        </w:rPr>
      </w:pPr>
    </w:p>
    <w:p w14:paraId="0000004B" w14:textId="77777777" w:rsidR="00A4027D" w:rsidRDefault="00A4027D">
      <w:pPr>
        <w:rPr>
          <w:rFonts w:ascii="Times New Roman" w:eastAsia="Times New Roman" w:hAnsi="Times New Roman" w:cs="Times New Roman"/>
          <w:sz w:val="24"/>
          <w:szCs w:val="24"/>
        </w:rPr>
      </w:pPr>
    </w:p>
    <w:p w14:paraId="0000004C" w14:textId="77777777" w:rsidR="00A4027D" w:rsidRDefault="00A4027D">
      <w:pPr>
        <w:rPr>
          <w:rFonts w:ascii="Times New Roman" w:eastAsia="Times New Roman" w:hAnsi="Times New Roman" w:cs="Times New Roman"/>
          <w:sz w:val="24"/>
          <w:szCs w:val="24"/>
        </w:rPr>
      </w:pPr>
    </w:p>
    <w:p w14:paraId="0000004D" w14:textId="77777777" w:rsidR="00A4027D" w:rsidRDefault="00A4027D">
      <w:pPr>
        <w:rPr>
          <w:rFonts w:ascii="Times New Roman" w:eastAsia="Times New Roman" w:hAnsi="Times New Roman" w:cs="Times New Roman"/>
          <w:sz w:val="24"/>
          <w:szCs w:val="24"/>
        </w:rPr>
      </w:pPr>
    </w:p>
    <w:p w14:paraId="0000004E" w14:textId="77777777" w:rsidR="00A4027D" w:rsidRDefault="009A47D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Introduction</w:t>
      </w:r>
    </w:p>
    <w:p w14:paraId="0000004F" w14:textId="77777777" w:rsidR="00A4027D" w:rsidRDefault="009A47D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Over the past two years in the Biomedical Science program, I have had the opportunity to strengthen my scientific foundation and observe various healthcare professionals in clinical settings. During the experiential component of the program, I had the privilege of shadowing a few physician assistants (PAs), which helped solidify my interest in a future career as a PA. The PAs  I shadowed worked in different specialties such as urology, emergency medicine, and otolaryngology, allowing me to form a more well-</w:t>
      </w:r>
      <w:r>
        <w:rPr>
          <w:rFonts w:ascii="Times New Roman" w:eastAsia="Times New Roman" w:hAnsi="Times New Roman" w:cs="Times New Roman"/>
          <w:sz w:val="24"/>
          <w:szCs w:val="24"/>
        </w:rPr>
        <w:t>rounded view of the PA role. While in this program, I have been able to take upper-level science courses and directly apply what I learned in the classroom to what I observed while shadowing. I have learned how to frame a clinical question and critically analyze the literature in order to find the best available evidence to guide clinical management. I have had the opportunity to reflect on my shadowing experiences and understand the importance of effective communication in patient-centered care. Through my</w:t>
      </w:r>
      <w:r>
        <w:rPr>
          <w:rFonts w:ascii="Times New Roman" w:eastAsia="Times New Roman" w:hAnsi="Times New Roman" w:cs="Times New Roman"/>
          <w:sz w:val="24"/>
          <w:szCs w:val="24"/>
        </w:rPr>
        <w:t xml:space="preserve"> reflection, I have also been able to better understand how the psychosocial determinants of health can impact patient outcomes. This capstone report will detail my reflections from my shadowing experiences and connect what I learned in the classroom to the clinical setting.  From knowledge gained in both the classroom and through the experiential component of the program, I have gained a unique perspective on healthcare that has further reinforced my desire to pursue the PA profession.</w:t>
      </w:r>
    </w:p>
    <w:p w14:paraId="00000050" w14:textId="77777777" w:rsidR="00A4027D" w:rsidRDefault="00A4027D">
      <w:pPr>
        <w:spacing w:line="480" w:lineRule="auto"/>
        <w:rPr>
          <w:rFonts w:ascii="Times New Roman" w:eastAsia="Times New Roman" w:hAnsi="Times New Roman" w:cs="Times New Roman"/>
          <w:sz w:val="24"/>
          <w:szCs w:val="24"/>
        </w:rPr>
      </w:pPr>
    </w:p>
    <w:p w14:paraId="00000051" w14:textId="77777777" w:rsidR="00A4027D" w:rsidRDefault="009A47D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From the Classroom to the Clinic</w:t>
      </w:r>
    </w:p>
    <w:p w14:paraId="00000052"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my time in the Biomedical Science program, I have strengthened my knowledge of human anatomy and physiology. I have reviewed the location and function of most muscles in the human body, including those of the pelvic floor muscles. The pelvic floor musculature </w:t>
      </w:r>
      <w:r>
        <w:rPr>
          <w:rFonts w:ascii="Times New Roman" w:eastAsia="Times New Roman" w:hAnsi="Times New Roman" w:cs="Times New Roman"/>
          <w:sz w:val="24"/>
          <w:szCs w:val="24"/>
        </w:rPr>
        <w:lastRenderedPageBreak/>
        <w:t>consists of three layers and is located at the base of the pelvis, a bony structure located between the lower abdomen and upper thighs.</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Pelvic floor muscles function to support the abdominal organs, aid in bowel and bladder control, and assist with sexual function. Weakening of these muscles can lead to a number of symptoms, including urinary incontinence and sexual dysfunction. Shadowing in a urology clinic allowed me to connect the knowledge I gained on pelvic floor musculature to clinical medicine.</w:t>
      </w:r>
    </w:p>
    <w:p w14:paraId="00000053"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shadowing in the urology clinic, I observed patients post-prostatectomy struggling with lower urinary tract symptoms (LUTS) and erectile dysfunction (ED). LUTS include frequency, urgency, nocturia, and urinary incontinence.</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One such patient presented with the chief complaint of urinary incontinence, while another was experiencing ED but no urinary incontinence. Although each patient had differing complaints, both patients were recommended to start pelvic floor therapy to alleviate their symptoms.  Based on what I learned in class, I now understand why these patients were referred to pelvic floor therapy. Both patients were experiencing pelvic floor dysfunction (PFD), which is a condition characterized by the inability to rel</w:t>
      </w:r>
      <w:r>
        <w:rPr>
          <w:rFonts w:ascii="Times New Roman" w:eastAsia="Times New Roman" w:hAnsi="Times New Roman" w:cs="Times New Roman"/>
          <w:sz w:val="24"/>
          <w:szCs w:val="24"/>
        </w:rPr>
        <w:t>ax and coordinate the pelvic floor during urination or bowel movements.</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After the removal of the prostate, pelvic floor muscles can become weakened. These muscles can also weaken due to other factors such as aging.</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Pelvic floor therapy can help to strengthen these muscles in order to regain continence. </w:t>
      </w:r>
    </w:p>
    <w:p w14:paraId="00000054" w14:textId="77777777" w:rsidR="00A4027D" w:rsidRDefault="009A47D6">
      <w:pPr>
        <w:spacing w:line="480" w:lineRule="auto"/>
        <w:ind w:firstLine="720"/>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color w:val="212121"/>
          <w:sz w:val="24"/>
          <w:szCs w:val="24"/>
          <w:highlight w:val="white"/>
        </w:rPr>
        <w:t>A 2018 study of subjects scheduled for robot-assisted radical prostatectomy was conducted to determine the effectiveness of pelvic floor muscle exercises (PFME) for treatment of incontinence after radical prostatectomy.</w:t>
      </w:r>
      <w:r>
        <w:rPr>
          <w:rFonts w:ascii="Times New Roman" w:eastAsia="Times New Roman" w:hAnsi="Times New Roman" w:cs="Times New Roman"/>
          <w:color w:val="212121"/>
          <w:sz w:val="24"/>
          <w:szCs w:val="24"/>
          <w:highlight w:val="white"/>
          <w:vertAlign w:val="superscript"/>
        </w:rPr>
        <w:t>4</w:t>
      </w:r>
      <w:r>
        <w:rPr>
          <w:rFonts w:ascii="Times New Roman" w:eastAsia="Times New Roman" w:hAnsi="Times New Roman" w:cs="Times New Roman"/>
          <w:color w:val="212121"/>
          <w:sz w:val="24"/>
          <w:szCs w:val="24"/>
          <w:highlight w:val="white"/>
        </w:rPr>
        <w:t xml:space="preserve"> This study included 60 male patients that were undergoing radical prostatectomy. Pelvic floor training along with standard of care was given to the experimental group before hospitalization, during hospitalization, and on the removal of the </w:t>
      </w:r>
      <w:r>
        <w:rPr>
          <w:rFonts w:ascii="Times New Roman" w:eastAsia="Times New Roman" w:hAnsi="Times New Roman" w:cs="Times New Roman"/>
          <w:color w:val="212121"/>
          <w:sz w:val="24"/>
          <w:szCs w:val="24"/>
          <w:highlight w:val="white"/>
        </w:rPr>
        <w:lastRenderedPageBreak/>
        <w:t>catheter postoperatively. The control group received standard of care alone. The patients were advised to complete the exercises daily over a period of 6 months. The number of incontinence pads used was recorded as a metric for urinary incontinence post procedure. There</w:t>
      </w:r>
      <w:r>
        <w:rPr>
          <w:rFonts w:ascii="Times New Roman" w:eastAsia="Times New Roman" w:hAnsi="Times New Roman" w:cs="Times New Roman"/>
          <w:color w:val="212121"/>
          <w:sz w:val="24"/>
          <w:szCs w:val="24"/>
          <w:highlight w:val="white"/>
        </w:rPr>
        <w:t xml:space="preserve"> was a significant difference between the control group and experimental group in the first month. The experimental group reported using 1-3 pads or 4-6 pads per week while the control group reported using more than 5 per week (p&lt;.01). In the sixth month more patients in the experimental group reported not using any pads or 1-3 pads per week (p&lt;.01). This study concluded that PFME was an effective therapy for urinary incontinence after a prostatectomy. This article connected my observed experiences to my le</w:t>
      </w:r>
      <w:r>
        <w:rPr>
          <w:rFonts w:ascii="Times New Roman" w:eastAsia="Times New Roman" w:hAnsi="Times New Roman" w:cs="Times New Roman"/>
          <w:color w:val="212121"/>
          <w:sz w:val="24"/>
          <w:szCs w:val="24"/>
          <w:highlight w:val="white"/>
        </w:rPr>
        <w:t>arning in the classroom by investigating the effectiveness of pelvic floor therapy for urinary incontinence.</w:t>
      </w:r>
    </w:p>
    <w:p w14:paraId="00000055" w14:textId="77777777" w:rsidR="00A4027D" w:rsidRDefault="00A4027D">
      <w:pPr>
        <w:spacing w:line="480" w:lineRule="auto"/>
        <w:ind w:firstLine="720"/>
        <w:rPr>
          <w:rFonts w:ascii="Times New Roman" w:eastAsia="Times New Roman" w:hAnsi="Times New Roman" w:cs="Times New Roman"/>
          <w:sz w:val="24"/>
          <w:szCs w:val="24"/>
        </w:rPr>
      </w:pPr>
    </w:p>
    <w:p w14:paraId="00000056" w14:textId="77777777" w:rsidR="00A4027D" w:rsidRDefault="009A47D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Framing a Clinical Question and Interrogating the Literature</w:t>
      </w:r>
    </w:p>
    <w:p w14:paraId="00000057" w14:textId="77777777" w:rsidR="00A4027D" w:rsidRDefault="009A47D6">
      <w:pPr>
        <w:shd w:val="clear" w:color="auto" w:fill="FFFFFF"/>
        <w:spacing w:line="480" w:lineRule="auto"/>
        <w:ind w:firstLine="72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With much of my shadowing hours spent in a urology clinic, I got the chance to learn about a number of urologic conditions I had not previously encountered. Many patients coming into the clinic had diagnoses of prostate cancer, bladder cancer, kidney stones, or benign prostatic hyperplasia (BPH). BPH is a noncancerous enlargement of the prostate that can cause symptoms such as the frequent or urgent need to urinate, incomplete emptying, and dribbling at the end of urination. Patients diagnosed with BPH part</w:t>
      </w:r>
      <w:r>
        <w:rPr>
          <w:rFonts w:ascii="Times New Roman" w:eastAsia="Times New Roman" w:hAnsi="Times New Roman" w:cs="Times New Roman"/>
          <w:color w:val="231F20"/>
          <w:sz w:val="24"/>
          <w:szCs w:val="24"/>
        </w:rPr>
        <w:t xml:space="preserve">icularly stood out to me because they made up a large percentage of the patient population for the PA whom I shadowed. These patients were mainly 50 years of age and older and were almost always prescribed the same drug, tamsulosin. Tamsulosin is an alpha-1 adrenergic blocker that helps relax muscles in the prostate and bladder, making urination easier. This drug was often effective for patients, hence its prevalent use in this provider’s practice. However, BPH can be complicated by acute urinary </w:t>
      </w:r>
      <w:r>
        <w:rPr>
          <w:rFonts w:ascii="Times New Roman" w:eastAsia="Times New Roman" w:hAnsi="Times New Roman" w:cs="Times New Roman"/>
          <w:color w:val="231F20"/>
          <w:sz w:val="24"/>
          <w:szCs w:val="24"/>
        </w:rPr>
        <w:lastRenderedPageBreak/>
        <w:t xml:space="preserve">retention </w:t>
      </w:r>
      <w:r>
        <w:rPr>
          <w:rFonts w:ascii="Times New Roman" w:eastAsia="Times New Roman" w:hAnsi="Times New Roman" w:cs="Times New Roman"/>
          <w:color w:val="231F20"/>
          <w:sz w:val="24"/>
          <w:szCs w:val="24"/>
        </w:rPr>
        <w:t>(AUR) and recurrent urinary tract infections (UTIs). Patients diagnosed with BPH experiencing AUR are typically catheterized to relieve pain and allow for the emptying of the bladder.</w:t>
      </w:r>
    </w:p>
    <w:p w14:paraId="00000058" w14:textId="77777777" w:rsidR="00A4027D" w:rsidRDefault="009A47D6">
      <w:pPr>
        <w:shd w:val="clear" w:color="auto" w:fill="FFFFFF"/>
        <w:spacing w:line="480" w:lineRule="auto"/>
        <w:ind w:firstLine="72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Knowing the previously mentioned facts about BPH and its complications led me to investigate the literature to deepen my understanding of the recommended treatment for this condition. To do this, I first framed a clinical question using the PICO format. PICO stands for population, intervention, comparison, and outcome. This technique is used in evidence-based medicine to create a focused and searchable clinical question. The P in the acronym PICO stands for population and is used to define the group or pati</w:t>
      </w:r>
      <w:r>
        <w:rPr>
          <w:rFonts w:ascii="Times New Roman" w:eastAsia="Times New Roman" w:hAnsi="Times New Roman" w:cs="Times New Roman"/>
          <w:color w:val="231F20"/>
          <w:sz w:val="24"/>
          <w:szCs w:val="24"/>
        </w:rPr>
        <w:t>ent that the clinical question is referring to. The I in the acronym stands for intervention and it details the specific treatment being considered. C stands for comparison which details an alternate treatment to the control and O stands for outcome which outlines the clinical result. My question was, “In male patients 50 years of age and older with BPH and AUR, are alpha-1 adrenergic blockers more effective than placebo in decreasing the occurrence of recatheterization?”</w:t>
      </w:r>
    </w:p>
    <w:p w14:paraId="00000059" w14:textId="77777777" w:rsidR="00A4027D" w:rsidRDefault="009A47D6">
      <w:pPr>
        <w:shd w:val="clear" w:color="auto" w:fill="FFFFFF"/>
        <w:spacing w:line="480" w:lineRule="auto"/>
        <w:ind w:firstLine="72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Using the database PubMed, I input the terms “benign prostatic hyperplasia AND tamsulosin AND acute urinary retention.”  In my literature review, I found an article that investigated tamsulosin in the management of patients with AUR from BPH.</w:t>
      </w:r>
      <w:r>
        <w:rPr>
          <w:rFonts w:ascii="Times New Roman" w:eastAsia="Times New Roman" w:hAnsi="Times New Roman" w:cs="Times New Roman"/>
          <w:color w:val="231F20"/>
          <w:sz w:val="24"/>
          <w:szCs w:val="24"/>
          <w:vertAlign w:val="superscript"/>
        </w:rPr>
        <w:t>5</w:t>
      </w:r>
      <w:r>
        <w:rPr>
          <w:rFonts w:ascii="Times New Roman" w:eastAsia="Times New Roman" w:hAnsi="Times New Roman" w:cs="Times New Roman"/>
          <w:color w:val="231F20"/>
          <w:sz w:val="24"/>
          <w:szCs w:val="24"/>
        </w:rPr>
        <w:t xml:space="preserve"> The study conducted in the article was a randomized, double-blind, and placebo-controlled study that had a population size of 149 with an average age of 69.4 years old. Those in the study were catheterized and randomly selected to receive either 0.4mg tamsulosin hydrochloride once daily (75 men) or a placebo (74 men). The men took up to eight doses before removal of the catheter and the ability to void was assessed. A key conclusion from the study was that patients who received tamsulosin were less likely</w:t>
      </w:r>
      <w:r>
        <w:rPr>
          <w:rFonts w:ascii="Times New Roman" w:eastAsia="Times New Roman" w:hAnsi="Times New Roman" w:cs="Times New Roman"/>
          <w:color w:val="231F20"/>
          <w:sz w:val="24"/>
          <w:szCs w:val="24"/>
        </w:rPr>
        <w:t xml:space="preserve"> to need recatheterization compared to those who received </w:t>
      </w:r>
      <w:r>
        <w:rPr>
          <w:rFonts w:ascii="Times New Roman" w:eastAsia="Times New Roman" w:hAnsi="Times New Roman" w:cs="Times New Roman"/>
          <w:color w:val="231F20"/>
          <w:sz w:val="24"/>
          <w:szCs w:val="24"/>
        </w:rPr>
        <w:lastRenderedPageBreak/>
        <w:t>the placebo. Those who took all 8 doses of tamsulosin compared to those who took 3 doses of tamsulosin were less likely to need recatheterization. Thirty-four patients who received tamsulosin and 18 who received the placebo did not require recatheterization. However, there were some limitations to the study, including the exclusion of patients with greater than 1500 mL initial catheterization volume. Eighty-one percent of the patients in the study we</w:t>
      </w:r>
      <w:r>
        <w:rPr>
          <w:rFonts w:ascii="Times New Roman" w:eastAsia="Times New Roman" w:hAnsi="Times New Roman" w:cs="Times New Roman"/>
          <w:color w:val="231F20"/>
          <w:sz w:val="24"/>
          <w:szCs w:val="24"/>
        </w:rPr>
        <w:t xml:space="preserve">re unable to complete phase two, mainly due to the need for recatheterization. This impacted the long-term efficacy of tamsulosin after AUR because of the limited number of patients remaining for proper analysis. </w:t>
      </w:r>
    </w:p>
    <w:p w14:paraId="0000005A" w14:textId="77777777" w:rsidR="00A4027D" w:rsidRDefault="009A47D6">
      <w:pPr>
        <w:shd w:val="clear" w:color="auto" w:fill="FFFFFF"/>
        <w:spacing w:line="480" w:lineRule="auto"/>
        <w:ind w:firstLine="72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This study was able to show that tamsulosin, an alpha-1-adrenergic blocker, was effective in preventing recatheterization in patients with BPH and AUR. A systematic review investigating the effects of alpha-1 blockers in the management of AUR in BPH patients also found that these medications were effective.</w:t>
      </w:r>
      <w:r>
        <w:rPr>
          <w:rFonts w:ascii="Times New Roman" w:eastAsia="Times New Roman" w:hAnsi="Times New Roman" w:cs="Times New Roman"/>
          <w:color w:val="231F20"/>
          <w:sz w:val="24"/>
          <w:szCs w:val="24"/>
          <w:vertAlign w:val="superscript"/>
        </w:rPr>
        <w:t>6</w:t>
      </w:r>
      <w:r>
        <w:rPr>
          <w:rFonts w:ascii="Times New Roman" w:eastAsia="Times New Roman" w:hAnsi="Times New Roman" w:cs="Times New Roman"/>
          <w:color w:val="231F20"/>
          <w:sz w:val="24"/>
          <w:szCs w:val="24"/>
        </w:rPr>
        <w:t xml:space="preserve"> Approximately 56.8% of patients receiving alpha-1 adrenergic blockers were able to void successfully after catheter removal compared to the control group. This review also mentioned that long-term efficacy was questionable due to the high likelihood of patients experiencing AUR recurrence or BPH surgery. Alpha-1 blockers appear to be most effective initially in preventing recatheterization, but may not prevent patients with BPH from experiencing AUR again.</w:t>
      </w:r>
    </w:p>
    <w:p w14:paraId="0000005B" w14:textId="77777777" w:rsidR="00A4027D" w:rsidRDefault="00A4027D">
      <w:pPr>
        <w:spacing w:line="480" w:lineRule="auto"/>
        <w:jc w:val="center"/>
        <w:rPr>
          <w:rFonts w:ascii="Times New Roman" w:eastAsia="Times New Roman" w:hAnsi="Times New Roman" w:cs="Times New Roman"/>
          <w:b/>
          <w:bCs/>
          <w:sz w:val="24"/>
          <w:szCs w:val="24"/>
        </w:rPr>
      </w:pPr>
    </w:p>
    <w:p w14:paraId="0000005C" w14:textId="77777777" w:rsidR="00A4027D" w:rsidRDefault="009A47D6">
      <w:pPr>
        <w:spacing w:line="480" w:lineRule="auto"/>
        <w:jc w:val="center"/>
        <w:rPr>
          <w:rFonts w:ascii="Times New Roman" w:eastAsia="Times New Roman" w:hAnsi="Times New Roman" w:cs="Times New Roman"/>
          <w:b/>
          <w:bCs/>
          <w:sz w:val="24"/>
          <w:szCs w:val="24"/>
          <w:highlight w:val="yellow"/>
        </w:rPr>
      </w:pPr>
      <w:r>
        <w:rPr>
          <w:rFonts w:ascii="Times New Roman" w:eastAsia="Times New Roman" w:hAnsi="Times New Roman" w:cs="Times New Roman"/>
          <w:b/>
          <w:bCs/>
          <w:sz w:val="24"/>
          <w:szCs w:val="24"/>
        </w:rPr>
        <w:t>Reflection on Effective Communication in Healthcare</w:t>
      </w:r>
    </w:p>
    <w:p w14:paraId="0000005D" w14:textId="77777777" w:rsidR="00A4027D" w:rsidRDefault="009A47D6">
      <w:pPr>
        <w:spacing w:line="480" w:lineRule="auto"/>
        <w:rPr>
          <w:rFonts w:ascii="Times New Roman" w:eastAsia="Times New Roman" w:hAnsi="Times New Roman" w:cs="Times New Roman"/>
          <w:i/>
          <w:iCs/>
          <w:color w:val="231F20"/>
          <w:sz w:val="24"/>
          <w:szCs w:val="24"/>
        </w:rPr>
      </w:pPr>
      <w:r>
        <w:rPr>
          <w:rFonts w:ascii="Times New Roman" w:eastAsia="Times New Roman" w:hAnsi="Times New Roman" w:cs="Times New Roman"/>
          <w:i/>
          <w:iCs/>
          <w:sz w:val="24"/>
          <w:szCs w:val="24"/>
        </w:rPr>
        <w:t>Effective Communication</w:t>
      </w:r>
    </w:p>
    <w:p w14:paraId="0000005E" w14:textId="77777777" w:rsidR="00A4027D" w:rsidRDefault="009A47D6">
      <w:pPr>
        <w:spacing w:line="480" w:lineRule="auto"/>
        <w:ind w:firstLine="720"/>
        <w:rPr>
          <w:rFonts w:ascii="Times New Roman" w:eastAsia="Times New Roman" w:hAnsi="Times New Roman" w:cs="Times New Roman"/>
          <w:color w:val="231F20"/>
          <w:sz w:val="24"/>
          <w:szCs w:val="24"/>
          <w:highlight w:val="white"/>
        </w:rPr>
      </w:pPr>
      <w:r>
        <w:rPr>
          <w:rFonts w:ascii="Times New Roman" w:eastAsia="Times New Roman" w:hAnsi="Times New Roman" w:cs="Times New Roman"/>
          <w:color w:val="231F20"/>
          <w:sz w:val="24"/>
          <w:szCs w:val="24"/>
          <w:highlight w:val="white"/>
        </w:rPr>
        <w:t xml:space="preserve">Clinician-patient communication is an integral part of the clinician-patient relationship and can be important for improving health outcomes. Good communication between the patient and provider should encourage a collaborative relationship. I believe that effective </w:t>
      </w:r>
      <w:r>
        <w:rPr>
          <w:rFonts w:ascii="Times New Roman" w:eastAsia="Times New Roman" w:hAnsi="Times New Roman" w:cs="Times New Roman"/>
          <w:color w:val="231F20"/>
          <w:sz w:val="24"/>
          <w:szCs w:val="24"/>
          <w:highlight w:val="white"/>
        </w:rPr>
        <w:lastRenderedPageBreak/>
        <w:t>communication includes active listening, empathy, and plain language that everyone can understand. Active listening is a learned professional skill where the listener does more than just merely acknowledge what they heard.</w:t>
      </w:r>
      <w:r>
        <w:rPr>
          <w:rFonts w:ascii="Times New Roman" w:eastAsia="Times New Roman" w:hAnsi="Times New Roman" w:cs="Times New Roman"/>
          <w:color w:val="231F20"/>
          <w:sz w:val="24"/>
          <w:szCs w:val="24"/>
          <w:highlight w:val="white"/>
          <w:vertAlign w:val="superscript"/>
        </w:rPr>
        <w:t>7</w:t>
      </w:r>
      <w:r>
        <w:rPr>
          <w:rFonts w:ascii="Times New Roman" w:eastAsia="Times New Roman" w:hAnsi="Times New Roman" w:cs="Times New Roman"/>
          <w:color w:val="231F20"/>
          <w:sz w:val="24"/>
          <w:szCs w:val="24"/>
          <w:highlight w:val="white"/>
        </w:rPr>
        <w:t xml:space="preserve"> Active listening includes acknowledgement of what was said, restating what was heard, and clarification through follow-up questions to deepen the understanding of the message. Active listening is a clinically significant skill and helps ensure not only that the provider understands the e</w:t>
      </w:r>
      <w:r>
        <w:rPr>
          <w:rFonts w:ascii="Times New Roman" w:eastAsia="Times New Roman" w:hAnsi="Times New Roman" w:cs="Times New Roman"/>
          <w:color w:val="231F20"/>
          <w:sz w:val="24"/>
          <w:szCs w:val="24"/>
          <w:highlight w:val="white"/>
        </w:rPr>
        <w:t>xtent of each patient's complaints but that patients feel heard. Patients should feel heard by their providers and trust that the guidance they receive is made with their best interests in mind. Effective communication between the clinician and patient should help build a trusting relationship between the two.</w:t>
      </w:r>
    </w:p>
    <w:p w14:paraId="0000005F" w14:textId="77777777" w:rsidR="00A4027D" w:rsidRDefault="009A47D6">
      <w:pPr>
        <w:spacing w:line="480" w:lineRule="auto"/>
        <w:ind w:firstLine="720"/>
        <w:rPr>
          <w:rFonts w:ascii="Times New Roman" w:eastAsia="Times New Roman" w:hAnsi="Times New Roman" w:cs="Times New Roman"/>
          <w:color w:val="231F20"/>
          <w:sz w:val="24"/>
          <w:szCs w:val="24"/>
          <w:highlight w:val="white"/>
        </w:rPr>
      </w:pPr>
      <w:r>
        <w:rPr>
          <w:rFonts w:ascii="Times New Roman" w:eastAsia="Times New Roman" w:hAnsi="Times New Roman" w:cs="Times New Roman"/>
          <w:color w:val="231F20"/>
          <w:sz w:val="24"/>
          <w:szCs w:val="24"/>
          <w:highlight w:val="white"/>
        </w:rPr>
        <w:t>One positive provider-patient interaction that I observed occurred in an otolaryngology office. This appointment was a new patient visit for evaluation of hearing loss in a 70-year old male patient. The patient was also accompanied to the appointment by his wife. Before this visit, the patient had a hearing test done that outlined the extent of his hearing loss. The first positive part of this interaction I observed was when the provider explained the results of the hearing test. She made sure to explain th</w:t>
      </w:r>
      <w:r>
        <w:rPr>
          <w:rFonts w:ascii="Times New Roman" w:eastAsia="Times New Roman" w:hAnsi="Times New Roman" w:cs="Times New Roman"/>
          <w:color w:val="231F20"/>
          <w:sz w:val="24"/>
          <w:szCs w:val="24"/>
          <w:highlight w:val="white"/>
        </w:rPr>
        <w:t>e results in a way that both the patient and his wife could understand. She used clear and simple language while also being as detailed as possible. Another part of the interaction that I observed as positive was when the provider went into why she thought hearing aids were the right treatment for the patient’s diagnosis. Learning during this visit that the patient had previously been diagnosed with Alzheimer’s disease and Lewy-body dementia, the provider explained that patients with neurodegenerative disor</w:t>
      </w:r>
      <w:r>
        <w:rPr>
          <w:rFonts w:ascii="Times New Roman" w:eastAsia="Times New Roman" w:hAnsi="Times New Roman" w:cs="Times New Roman"/>
          <w:color w:val="231F20"/>
          <w:sz w:val="24"/>
          <w:szCs w:val="24"/>
          <w:highlight w:val="white"/>
        </w:rPr>
        <w:t xml:space="preserve">ders experiencing hearing loss can face faster cognitive decline. The patient’s wife at this point in the visit became a little bit teary-eyed, as this was a difficult reality to face. The provider recognized the wife’s emotional response and took the time to assure both her and her husband that studies show how hearing aids can </w:t>
      </w:r>
      <w:r>
        <w:rPr>
          <w:rFonts w:ascii="Times New Roman" w:eastAsia="Times New Roman" w:hAnsi="Times New Roman" w:cs="Times New Roman"/>
          <w:color w:val="231F20"/>
          <w:sz w:val="24"/>
          <w:szCs w:val="24"/>
          <w:highlight w:val="white"/>
        </w:rPr>
        <w:lastRenderedPageBreak/>
        <w:t>potentially help slow cognitive decline by addressing the patient’s hearing loss. It seemed clear that by the end of the interaction that the patient’s wife was comforted by the res</w:t>
      </w:r>
      <w:r>
        <w:rPr>
          <w:rFonts w:ascii="Times New Roman" w:eastAsia="Times New Roman" w:hAnsi="Times New Roman" w:cs="Times New Roman"/>
          <w:color w:val="231F20"/>
          <w:sz w:val="24"/>
          <w:szCs w:val="24"/>
          <w:highlight w:val="white"/>
        </w:rPr>
        <w:t>ponse of the provider. The patient and his wife appeared calmer and more confident in the plan of care outlined by the provider.</w:t>
      </w:r>
    </w:p>
    <w:p w14:paraId="00000060" w14:textId="77777777" w:rsidR="00A4027D" w:rsidRDefault="009A47D6">
      <w:pPr>
        <w:spacing w:line="480" w:lineRule="auto"/>
        <w:ind w:firstLine="720"/>
        <w:rPr>
          <w:rFonts w:ascii="Times New Roman" w:eastAsia="Times New Roman" w:hAnsi="Times New Roman" w:cs="Times New Roman"/>
          <w:color w:val="231F20"/>
          <w:sz w:val="24"/>
          <w:szCs w:val="24"/>
          <w:highlight w:val="white"/>
        </w:rPr>
      </w:pPr>
      <w:r>
        <w:rPr>
          <w:rFonts w:ascii="Times New Roman" w:eastAsia="Times New Roman" w:hAnsi="Times New Roman" w:cs="Times New Roman"/>
          <w:color w:val="231F20"/>
          <w:sz w:val="24"/>
          <w:szCs w:val="24"/>
          <w:highlight w:val="white"/>
        </w:rPr>
        <w:t>I believe this patient visit went well because of the empathy shown and the shared decision-making between the patient and provider. During this interaction, the provider was able to build rapport with the patient by listening actively and relating to the patient’s struggles. I think that sharing a small personal piece of information with the family potentially made the patient and his wife feel less alone. The provider also made sure to listen intently to what the patient and his wife had to say and respon</w:t>
      </w:r>
      <w:r>
        <w:rPr>
          <w:rFonts w:ascii="Times New Roman" w:eastAsia="Times New Roman" w:hAnsi="Times New Roman" w:cs="Times New Roman"/>
          <w:color w:val="231F20"/>
          <w:sz w:val="24"/>
          <w:szCs w:val="24"/>
          <w:highlight w:val="white"/>
        </w:rPr>
        <w:t xml:space="preserve">ded appropriately. Another aspect of this appointment that I believe was positive was when the provider suggested medical offices that were closer to the patient’s home and might thus lessen the burden brought by his medical conditions.  When she presented this information to the patient, she made sure to mention that they could still pursue further care at her office and that they should not feel bad if they decided to get care elsewhere. It was clear that the provider was prioritizing the patient and his </w:t>
      </w:r>
      <w:r>
        <w:rPr>
          <w:rFonts w:ascii="Times New Roman" w:eastAsia="Times New Roman" w:hAnsi="Times New Roman" w:cs="Times New Roman"/>
          <w:color w:val="231F20"/>
          <w:sz w:val="24"/>
          <w:szCs w:val="24"/>
          <w:highlight w:val="white"/>
        </w:rPr>
        <w:t xml:space="preserve">wife over her own best interests. She also made sure that the patient was informed of all the options regarding hearing aids, such as price and which retailers might serve them best. This showed that she respected the patient’s autonomy and made sure that they were well informed. </w:t>
      </w:r>
    </w:p>
    <w:p w14:paraId="00000061" w14:textId="77777777" w:rsidR="00A4027D" w:rsidRDefault="009A47D6">
      <w:pPr>
        <w:spacing w:line="480" w:lineRule="auto"/>
        <w:rPr>
          <w:rFonts w:ascii="Times New Roman" w:eastAsia="Times New Roman" w:hAnsi="Times New Roman" w:cs="Times New Roman"/>
          <w:i/>
          <w:iCs/>
          <w:color w:val="231F20"/>
          <w:sz w:val="24"/>
          <w:szCs w:val="24"/>
          <w:highlight w:val="white"/>
        </w:rPr>
      </w:pPr>
      <w:r>
        <w:rPr>
          <w:rFonts w:ascii="Times New Roman" w:eastAsia="Times New Roman" w:hAnsi="Times New Roman" w:cs="Times New Roman"/>
          <w:i/>
          <w:iCs/>
          <w:color w:val="231F20"/>
          <w:sz w:val="24"/>
          <w:szCs w:val="24"/>
          <w:highlight w:val="white"/>
        </w:rPr>
        <w:t>Ineffective Communication</w:t>
      </w:r>
    </w:p>
    <w:p w14:paraId="00000062" w14:textId="77777777" w:rsidR="00A4027D" w:rsidRDefault="009A47D6">
      <w:pPr>
        <w:spacing w:line="480" w:lineRule="auto"/>
        <w:ind w:firstLine="720"/>
        <w:rPr>
          <w:rFonts w:ascii="Times New Roman" w:eastAsia="Times New Roman" w:hAnsi="Times New Roman" w:cs="Times New Roman"/>
          <w:color w:val="231F20"/>
          <w:sz w:val="24"/>
          <w:szCs w:val="24"/>
          <w:highlight w:val="white"/>
          <w:vertAlign w:val="superscript"/>
        </w:rPr>
      </w:pPr>
      <w:r>
        <w:rPr>
          <w:rFonts w:ascii="Times New Roman" w:eastAsia="Times New Roman" w:hAnsi="Times New Roman" w:cs="Times New Roman"/>
          <w:color w:val="231F20"/>
          <w:sz w:val="24"/>
          <w:szCs w:val="24"/>
          <w:highlight w:val="white"/>
        </w:rPr>
        <w:t xml:space="preserve">During my shadowing experiences, I have been fortunate enough to primarily observe positive clinician-patient interactions. However, I understand that not every patient encounter is a positive one. Poor communication between a patient and a provider can be detrimental to the health and overall care of a patient. Poor communication between a patient and a provider can </w:t>
      </w:r>
      <w:r>
        <w:rPr>
          <w:rFonts w:ascii="Times New Roman" w:eastAsia="Times New Roman" w:hAnsi="Times New Roman" w:cs="Times New Roman"/>
          <w:color w:val="231F20"/>
          <w:sz w:val="24"/>
          <w:szCs w:val="24"/>
          <w:highlight w:val="white"/>
        </w:rPr>
        <w:lastRenderedPageBreak/>
        <w:t>include the provider not actively listening, using complex medical language, and having an uncaring attitude towards patients. Patients can also contribute to a negative clinician-patient relationship in similar ways to the provider. Patients can have unrealistic expectations, bad attitudes, and poor communication skills. Poor communication from either side of the relationship can contribute to clinician-patient interactions going poorly. Ineffective communication can lead to adverse patient outcomes and it</w:t>
      </w:r>
      <w:r>
        <w:rPr>
          <w:rFonts w:ascii="Times New Roman" w:eastAsia="Times New Roman" w:hAnsi="Times New Roman" w:cs="Times New Roman"/>
          <w:color w:val="231F20"/>
          <w:sz w:val="24"/>
          <w:szCs w:val="24"/>
          <w:highlight w:val="white"/>
        </w:rPr>
        <w:t xml:space="preserve"> is reported that it contributes to approximately 60% of hospital adverse events in the United States.</w:t>
      </w:r>
      <w:r>
        <w:rPr>
          <w:rFonts w:ascii="Times New Roman" w:eastAsia="Times New Roman" w:hAnsi="Times New Roman" w:cs="Times New Roman"/>
          <w:color w:val="231F20"/>
          <w:sz w:val="24"/>
          <w:szCs w:val="24"/>
          <w:highlight w:val="white"/>
          <w:vertAlign w:val="superscript"/>
        </w:rPr>
        <w:t>8</w:t>
      </w:r>
    </w:p>
    <w:p w14:paraId="00000063" w14:textId="77777777" w:rsidR="00A4027D" w:rsidRDefault="009A47D6">
      <w:pPr>
        <w:spacing w:line="480" w:lineRule="auto"/>
        <w:ind w:firstLine="720"/>
        <w:rPr>
          <w:rFonts w:ascii="Times New Roman" w:eastAsia="Times New Roman" w:hAnsi="Times New Roman" w:cs="Times New Roman"/>
          <w:color w:val="231F20"/>
          <w:sz w:val="24"/>
          <w:szCs w:val="24"/>
          <w:highlight w:val="white"/>
        </w:rPr>
      </w:pPr>
      <w:r>
        <w:rPr>
          <w:rFonts w:ascii="Times New Roman" w:eastAsia="Times New Roman" w:hAnsi="Times New Roman" w:cs="Times New Roman"/>
          <w:color w:val="231F20"/>
          <w:sz w:val="24"/>
          <w:szCs w:val="24"/>
          <w:highlight w:val="white"/>
        </w:rPr>
        <w:t>One negative clinician-patient interaction that I observed occurred while I was working as a nursing assistant. This incident happened in a pediatric specialty clinic, where the patient was accompanied to the appointment by her mother. The mother came into the appointment with a treatment plan in mind and unrealistic expectations of the provider. She was closed off to what the provider had to say and refused to listen to any recommendations the provider had regarding the treatment of the patient. After real</w:t>
      </w:r>
      <w:r>
        <w:rPr>
          <w:rFonts w:ascii="Times New Roman" w:eastAsia="Times New Roman" w:hAnsi="Times New Roman" w:cs="Times New Roman"/>
          <w:color w:val="231F20"/>
          <w:sz w:val="24"/>
          <w:szCs w:val="24"/>
          <w:highlight w:val="white"/>
        </w:rPr>
        <w:t xml:space="preserve">izing the patient and her mother were not going to engage in a collaborative relationship, the provider cut the visit short and referred the patient to another provider. </w:t>
      </w:r>
    </w:p>
    <w:p w14:paraId="00000064" w14:textId="77777777" w:rsidR="00A4027D" w:rsidRDefault="009A47D6">
      <w:pPr>
        <w:spacing w:line="480" w:lineRule="auto"/>
        <w:ind w:firstLine="720"/>
        <w:rPr>
          <w:rFonts w:ascii="Times New Roman" w:eastAsia="Times New Roman" w:hAnsi="Times New Roman" w:cs="Times New Roman"/>
          <w:color w:val="231F20"/>
          <w:sz w:val="24"/>
          <w:szCs w:val="24"/>
          <w:highlight w:val="white"/>
        </w:rPr>
      </w:pPr>
      <w:r>
        <w:rPr>
          <w:rFonts w:ascii="Times New Roman" w:eastAsia="Times New Roman" w:hAnsi="Times New Roman" w:cs="Times New Roman"/>
          <w:color w:val="231F20"/>
          <w:sz w:val="24"/>
          <w:szCs w:val="24"/>
          <w:highlight w:val="white"/>
        </w:rPr>
        <w:t>I think that this interaction went poorly because the patient’s mother was rigid and unwilling to hear what the provider had to say. A clinician-patient interaction cannot function without both sides being willing to listen to what the other person has to say. A patient has the right to be involved in their care and choose the right treatment for themselves, but seeking care from a clinician insinuates that the patient wants guidance from a professional. Responsibility still lies with the provider in instan</w:t>
      </w:r>
      <w:r>
        <w:rPr>
          <w:rFonts w:ascii="Times New Roman" w:eastAsia="Times New Roman" w:hAnsi="Times New Roman" w:cs="Times New Roman"/>
          <w:color w:val="231F20"/>
          <w:sz w:val="24"/>
          <w:szCs w:val="24"/>
          <w:highlight w:val="white"/>
        </w:rPr>
        <w:t>ces where a good fit is not occurring, to respond appropriately and work with the patient to identify possible solutions. The provider also should have helped identify other potential providers with whom the patient may find a better fit.</w:t>
      </w:r>
    </w:p>
    <w:p w14:paraId="00000065" w14:textId="77777777" w:rsidR="00A4027D" w:rsidRDefault="00A4027D">
      <w:pPr>
        <w:rPr>
          <w:rFonts w:ascii="Times New Roman" w:eastAsia="Times New Roman" w:hAnsi="Times New Roman" w:cs="Times New Roman"/>
          <w:b/>
          <w:bCs/>
          <w:sz w:val="24"/>
          <w:szCs w:val="24"/>
        </w:rPr>
      </w:pPr>
    </w:p>
    <w:p w14:paraId="00000066" w14:textId="77777777" w:rsidR="00A4027D" w:rsidRDefault="009A47D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Reflection on Psychosocial Determinants of Health</w:t>
      </w:r>
    </w:p>
    <w:p w14:paraId="00000067"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Health status and health outcomes are determined by several different factors such as biological, behavioral, and social factors. Social determinants of health include socioeconomic status (SES), education level, and employment status. Low socioeconomic status can be defined by lower income and limited education, which can lead to limited access to resources. SES and employment status can negatively affect health because of the high cost of medical care and the inability to obtain and afford health insuranc</w:t>
      </w:r>
      <w:r>
        <w:rPr>
          <w:rFonts w:ascii="Times New Roman" w:eastAsia="Times New Roman" w:hAnsi="Times New Roman" w:cs="Times New Roman"/>
          <w:sz w:val="24"/>
          <w:szCs w:val="24"/>
        </w:rPr>
        <w:t xml:space="preserve">e. Patients with limited income and no insurance may delay seeking treatment or never seek treatment because the costs are unaffordable. This can lead to manageable conditions developing into more serious illnesses.  </w:t>
      </w:r>
    </w:p>
    <w:p w14:paraId="00000068"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my time shadowing in the urology clinic, I observed an appointment where a young Hispanic patient was returning to receive care. This patient had been seen at the office a year prior but was unable to follow up with any diagnostic tests. This patient was uninsured and did not have the resources to pay out of pocket for any medical expenses. At the time of his most recent appointment, he was still uninsured but was able to procure financial assistance through the hospital. Without assistance from the </w:t>
      </w:r>
      <w:r>
        <w:rPr>
          <w:rFonts w:ascii="Times New Roman" w:eastAsia="Times New Roman" w:hAnsi="Times New Roman" w:cs="Times New Roman"/>
          <w:sz w:val="24"/>
          <w:szCs w:val="24"/>
        </w:rPr>
        <w:t xml:space="preserve">hospital, this patient may never have been able to receive the care he needed. </w:t>
      </w:r>
    </w:p>
    <w:p w14:paraId="00000069"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being able to afford care can be harmful for anybody, and it was potentially harmful to this patient because time elapsed for his health problems to get worse. This patient was being seen for gross hematuria, which can indicate mild to serious illness. Not being able to address this symptom promptly and determine the underlying cause could potentially lead to more serious issues, such as the progression of a disease like cancer. </w:t>
      </w:r>
    </w:p>
    <w:p w14:paraId="0000006A"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recent study examined the effects of cost-related or forgone care and emergency department (ED) visits in Latino adults.</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The study found that those who delayed care due to cost </w:t>
      </w:r>
      <w:r>
        <w:rPr>
          <w:rFonts w:ascii="Times New Roman" w:eastAsia="Times New Roman" w:hAnsi="Times New Roman" w:cs="Times New Roman"/>
          <w:sz w:val="24"/>
          <w:szCs w:val="24"/>
        </w:rPr>
        <w:lastRenderedPageBreak/>
        <w:t xml:space="preserve">had an increased rate of ED visits. This highlighted the reality of many uninsured adults across the country. Low-income individuals and those without insurance may not seek care from specialists or primary care providers when care is initially needed. Still, they may find themselves searching for care in the ED when symptoms significantly worsen. This speaks to another issue that is the result of access to care. </w:t>
      </w:r>
    </w:p>
    <w:p w14:paraId="0000006B"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Delaying or forgoing healthcare entirely due to cost is a problem that plagues many Americans. About 36% of adults report that they have forgone or delayed healthcare in the last year because of the cost.</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The uninsured are more likely to delay or forgo healthcare, but even those with insurance can still face the barrier of the high cost of medicine. Insurance status and low income can be detrimental to the health of individuals. Patients who skipped care due to cost reported that their health got worse because of forgoing treatment.</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The high cost of healthcare is a barrier that many individuals face, and it is an issue that needs to be addressed. Patients with low SES and those who are uninsured will co</w:t>
      </w:r>
      <w:r>
        <w:rPr>
          <w:rFonts w:ascii="Times New Roman" w:eastAsia="Times New Roman" w:hAnsi="Times New Roman" w:cs="Times New Roman"/>
          <w:sz w:val="24"/>
          <w:szCs w:val="24"/>
        </w:rPr>
        <w:t>ntinue to experience negative health outcomes if changes are not instituted.</w:t>
      </w:r>
    </w:p>
    <w:p w14:paraId="0000006C"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Low SES may influence more than a patient’s access to care. Low SES can also influence the interaction between the patient and clinician. Patients of low SES report feelings of being treated unfairly and the perception of receiving a lower quality of care.</w:t>
      </w:r>
      <w:r>
        <w:rPr>
          <w:rFonts w:ascii="Times New Roman" w:eastAsia="Times New Roman" w:hAnsi="Times New Roman" w:cs="Times New Roman"/>
          <w:sz w:val="24"/>
          <w:szCs w:val="24"/>
          <w:vertAlign w:val="superscript"/>
        </w:rPr>
        <w:t>11,12</w:t>
      </w:r>
      <w:r>
        <w:rPr>
          <w:rFonts w:ascii="Times New Roman" w:eastAsia="Times New Roman" w:hAnsi="Times New Roman" w:cs="Times New Roman"/>
          <w:sz w:val="24"/>
          <w:szCs w:val="24"/>
        </w:rPr>
        <w:t xml:space="preserve"> Whether or not patients of low SES are receiving a different level of care, the mere perception of differences in care may contribute to healthcare disparities. Patients may begin to lose trust and confidence in their provider and potentially the healthcare system as a whole. This may lead them to delay or forgo care entirely, contributing to adverse outcomes.</w:t>
      </w:r>
    </w:p>
    <w:p w14:paraId="0000006D" w14:textId="77777777" w:rsidR="00A4027D" w:rsidRDefault="00A4027D">
      <w:pPr>
        <w:spacing w:line="480" w:lineRule="auto"/>
        <w:rPr>
          <w:rFonts w:ascii="Times New Roman" w:eastAsia="Times New Roman" w:hAnsi="Times New Roman" w:cs="Times New Roman"/>
          <w:sz w:val="24"/>
          <w:szCs w:val="24"/>
        </w:rPr>
      </w:pPr>
    </w:p>
    <w:p w14:paraId="0000006E" w14:textId="77777777" w:rsidR="00A4027D" w:rsidRDefault="009A47D6">
      <w:pPr>
        <w:spacing w:line="480" w:lineRule="auto"/>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 Impact of the Program on My Views Towards a Career in Healthcare</w:t>
      </w:r>
    </w:p>
    <w:p w14:paraId="0000006F" w14:textId="77777777" w:rsidR="00A4027D" w:rsidRDefault="009A47D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b/>
      </w:r>
      <w:r>
        <w:rPr>
          <w:rFonts w:ascii="Times New Roman" w:eastAsia="Times New Roman" w:hAnsi="Times New Roman" w:cs="Times New Roman"/>
          <w:sz w:val="24"/>
          <w:szCs w:val="24"/>
        </w:rPr>
        <w:t>The biomedical science program has been impactful on my pursuit of a future career as a PA. I feel like I have adequately strengthened my science background with rigorous coursework and gained a deeper understanding of the PA role. I knew coming into this program that I wanted to pursue a career in healthcare, particularly as a PA, but this program has reinforced my desire to pursue this career path. The experiential learning component of this program was unmatched and allowed me to fully observe the workfl</w:t>
      </w:r>
      <w:r>
        <w:rPr>
          <w:rFonts w:ascii="Times New Roman" w:eastAsia="Times New Roman" w:hAnsi="Times New Roman" w:cs="Times New Roman"/>
          <w:sz w:val="24"/>
          <w:szCs w:val="24"/>
        </w:rPr>
        <w:t xml:space="preserve">ow and interactions of a PA. </w:t>
      </w:r>
    </w:p>
    <w:p w14:paraId="00000070" w14:textId="77777777" w:rsidR="00A4027D" w:rsidRDefault="009A47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beginning the program, I had very few shadowing hours with PAs. I had a general idea of what the PA profession entailed and an overall sense of how providers work together as a healthcare team. I had witnessed previously in my clinical work experience how everyone, from the medical assistants to the advanced practice providers (APPs) and physicians, worked together to provide patients with the best possible care.  What I have learned from my previous observations and prior knowledge about the profess</w:t>
      </w:r>
      <w:r>
        <w:rPr>
          <w:rFonts w:ascii="Times New Roman" w:eastAsia="Times New Roman" w:hAnsi="Times New Roman" w:cs="Times New Roman"/>
          <w:sz w:val="24"/>
          <w:szCs w:val="24"/>
        </w:rPr>
        <w:t xml:space="preserve">ion was enough to shape my interest in becoming a PA. However, my shadowing experiences during this program have further reinforced my views and pursuit of this profession. This program has been incredibly helpful in gaining a better understanding of the PA profession and exposure to several different specialties. </w:t>
      </w:r>
    </w:p>
    <w:p w14:paraId="00000071" w14:textId="77777777" w:rsidR="00A4027D" w:rsidRDefault="009A47D6">
      <w:pPr>
        <w:shd w:val="clear" w:color="auto" w:fill="FFFFFF"/>
        <w:spacing w:before="180" w:after="18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Many observations I have made while shadowing have been positive. I have been able to observe qualities that I admire in PAs and the skills they have that allow them to succeed in their roles.  One shadowing experience I had involved a provider treating several patients diagnosed with prostate cancer. This PA showed a great level of compassion toward every patient, regardless of their prognosis. She made a clear effort to address the fears of some patients by walking them through their diagnoses and treatme</w:t>
      </w:r>
      <w:r>
        <w:rPr>
          <w:rFonts w:ascii="Times New Roman" w:eastAsia="Times New Roman" w:hAnsi="Times New Roman" w:cs="Times New Roman"/>
          <w:sz w:val="24"/>
          <w:szCs w:val="24"/>
        </w:rPr>
        <w:t xml:space="preserve">nt plans and answering every question they had. I noticed that this provider was able to take complex diagnoses and explain them in simple terms that the patients could understand. Outside of patient interactions, this provider highlighted </w:t>
      </w:r>
      <w:r>
        <w:rPr>
          <w:rFonts w:ascii="Times New Roman" w:eastAsia="Times New Roman" w:hAnsi="Times New Roman" w:cs="Times New Roman"/>
          <w:sz w:val="24"/>
          <w:szCs w:val="24"/>
        </w:rPr>
        <w:lastRenderedPageBreak/>
        <w:t>the collaborative nature of the PA profession by seeking guidance from physicians and other colleagues when needed. Overall, this experience further reinforced my interest in the PA profession.</w:t>
      </w:r>
    </w:p>
    <w:p w14:paraId="00000072" w14:textId="77777777" w:rsidR="00A4027D" w:rsidRDefault="009A47D6">
      <w:pPr>
        <w:shd w:val="clear" w:color="auto" w:fill="FFFFFF"/>
        <w:spacing w:before="180" w:after="18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231F20"/>
          <w:sz w:val="24"/>
          <w:szCs w:val="24"/>
        </w:rPr>
        <w:t>During my experience shadowing, I primarily observed positive interactions between staff and patients. There were only a few instances that gave me pause. While shadowing, I noticed that occasionally, certain providers would not have the nicest things to say about patients when conversing with fellow workers in between cases. Remarks were made about certain physical characteristics of patients and other topics that seemed inappropriate for the workplace. This gave me pause on my consideration of this profes</w:t>
      </w:r>
      <w:r>
        <w:rPr>
          <w:rFonts w:ascii="Times New Roman" w:eastAsia="Times New Roman" w:hAnsi="Times New Roman" w:cs="Times New Roman"/>
          <w:color w:val="231F20"/>
          <w:sz w:val="24"/>
          <w:szCs w:val="24"/>
        </w:rPr>
        <w:t>sion because it shocked me how people who are usually so compassionate and caring can also be disparaging. I understand that everyone is human and workplace banter is normal, but speaking negatively about patients in a non-clinical manner is not professional. This instance only happened once or twice, but it makes me reflect more on the qualities I wish to possess as a future PA.</w:t>
      </w:r>
    </w:p>
    <w:p w14:paraId="00000073" w14:textId="77777777" w:rsidR="00A4027D" w:rsidRDefault="009A47D6">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Many of the healthcare providers I shadowed reflected positively on their career choice and the pathways they took to get there. One conversation I had with a physician influenced me further to pursue a career as a PA. She had many positive remarks about the profession, mainly about the flexibility the role offers and how it can contribute to a positive work-life balance. A couple of other PAs I shadowed agreed with this sentiment as they appreciated how the position can allow for schedule flexibility and t</w:t>
      </w:r>
      <w:r>
        <w:rPr>
          <w:rFonts w:ascii="Times New Roman" w:eastAsia="Times New Roman" w:hAnsi="Times New Roman" w:cs="Times New Roman"/>
          <w:sz w:val="24"/>
          <w:szCs w:val="24"/>
        </w:rPr>
        <w:t>he opportunity to change specialties. I found this to be encouraging as I have heard that the healthcare field can be taxing on its workers, and a positive work-life balance and career flexibility will hopefully mitigate the risk of burnout. Overall, my shadowing experiences have reinforced my interest in the PA profession, and I look forward to further experiences I may have.</w:t>
      </w:r>
    </w:p>
    <w:p w14:paraId="00000074" w14:textId="77777777" w:rsidR="00A4027D" w:rsidRDefault="009A47D6">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Bibliography</w:t>
      </w:r>
    </w:p>
    <w:p w14:paraId="00000075" w14:textId="77777777" w:rsidR="00A4027D" w:rsidRDefault="00A4027D">
      <w:pPr>
        <w:jc w:val="center"/>
        <w:rPr>
          <w:rFonts w:ascii="Times New Roman" w:eastAsia="Times New Roman" w:hAnsi="Times New Roman" w:cs="Times New Roman"/>
          <w:b/>
          <w:bCs/>
          <w:sz w:val="24"/>
          <w:szCs w:val="24"/>
        </w:rPr>
      </w:pPr>
    </w:p>
    <w:p w14:paraId="00000076" w14:textId="77777777" w:rsidR="00A4027D" w:rsidRDefault="009A47D6">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color w:val="1B1B1B"/>
          <w:sz w:val="24"/>
          <w:szCs w:val="24"/>
          <w:highlight w:val="white"/>
        </w:rPr>
        <w:t xml:space="preserve">Raizada, V., &amp; Mittal, R. K. (2008). Pelvic floor anatomy and applied physiology. </w:t>
      </w:r>
      <w:r>
        <w:rPr>
          <w:rFonts w:ascii="Times New Roman" w:eastAsia="Times New Roman" w:hAnsi="Times New Roman" w:cs="Times New Roman"/>
          <w:i/>
          <w:iCs/>
          <w:color w:val="1B1B1B"/>
          <w:sz w:val="24"/>
          <w:szCs w:val="24"/>
          <w:highlight w:val="white"/>
        </w:rPr>
        <w:t>Gastroenterology clinics of North America</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37</w:t>
      </w:r>
      <w:r>
        <w:rPr>
          <w:rFonts w:ascii="Times New Roman" w:eastAsia="Times New Roman" w:hAnsi="Times New Roman" w:cs="Times New Roman"/>
          <w:color w:val="1B1B1B"/>
          <w:sz w:val="24"/>
          <w:szCs w:val="24"/>
          <w:highlight w:val="white"/>
        </w:rPr>
        <w:t xml:space="preserve">(3), 493–vii. </w:t>
      </w:r>
      <w:hyperlink r:id="rId5">
        <w:r>
          <w:rPr>
            <w:rFonts w:ascii="Times New Roman" w:eastAsia="Times New Roman" w:hAnsi="Times New Roman" w:cs="Times New Roman"/>
            <w:color w:val="1155CC"/>
            <w:sz w:val="24"/>
            <w:szCs w:val="24"/>
            <w:highlight w:val="white"/>
            <w:u w:val="single"/>
          </w:rPr>
          <w:t>https://doi.org/10.1016/j.gtc.2008.06.003</w:t>
        </w:r>
      </w:hyperlink>
    </w:p>
    <w:p w14:paraId="00000077" w14:textId="77777777" w:rsidR="00A4027D" w:rsidRDefault="009A47D6">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Cleveland Clinic. (2022, October 3). </w:t>
      </w:r>
      <w:r>
        <w:rPr>
          <w:rFonts w:ascii="Times New Roman" w:eastAsia="Times New Roman" w:hAnsi="Times New Roman" w:cs="Times New Roman"/>
          <w:i/>
          <w:iCs/>
          <w:sz w:val="24"/>
          <w:szCs w:val="24"/>
        </w:rPr>
        <w:t xml:space="preserve">Lower Urinary Tract Symptoms (LUTS). </w:t>
      </w:r>
      <w:hyperlink r:id="rId6">
        <w:r>
          <w:rPr>
            <w:rFonts w:ascii="Times New Roman" w:eastAsia="Times New Roman" w:hAnsi="Times New Roman" w:cs="Times New Roman"/>
            <w:color w:val="1155CC"/>
            <w:sz w:val="24"/>
            <w:szCs w:val="24"/>
            <w:u w:val="single"/>
          </w:rPr>
          <w:t>https://my.clevelandclinic.org/health/symptoms/24248-lower-urinary-tract-symptoms</w:t>
        </w:r>
      </w:hyperlink>
    </w:p>
    <w:p w14:paraId="00000078" w14:textId="77777777" w:rsidR="00A4027D" w:rsidRDefault="009A47D6">
      <w:pPr>
        <w:numPr>
          <w:ilvl w:val="0"/>
          <w:numId w:val="1"/>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Komemushi, Y., Komemushi, A., Morimoto, K., Yoneda, Y., Yoshimura, R., Tanaka, T., &amp; Nakatani, T. (2019). Quantitative evaluation of age‐related changes to pelvic floor muscles in magnetic resonance images from 369 patients. </w:t>
      </w:r>
      <w:r>
        <w:rPr>
          <w:rFonts w:ascii="Times New Roman" w:eastAsia="Times New Roman" w:hAnsi="Times New Roman" w:cs="Times New Roman"/>
          <w:i/>
          <w:iCs/>
          <w:sz w:val="24"/>
          <w:szCs w:val="24"/>
          <w:highlight w:val="white"/>
        </w:rPr>
        <w:t>Geriatrics &amp; gerontology international</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19</w:t>
      </w:r>
      <w:r>
        <w:rPr>
          <w:rFonts w:ascii="Times New Roman" w:eastAsia="Times New Roman" w:hAnsi="Times New Roman" w:cs="Times New Roman"/>
          <w:sz w:val="24"/>
          <w:szCs w:val="24"/>
          <w:highlight w:val="white"/>
        </w:rPr>
        <w:t>(8), 834-837.</w:t>
      </w:r>
      <w:r>
        <w:rPr>
          <w:rFonts w:ascii="Times New Roman" w:eastAsia="Times New Roman" w:hAnsi="Times New Roman" w:cs="Times New Roman"/>
          <w:sz w:val="24"/>
          <w:szCs w:val="24"/>
        </w:rPr>
        <w:t xml:space="preserve"> </w:t>
      </w:r>
    </w:p>
    <w:p w14:paraId="00000079" w14:textId="77777777" w:rsidR="00A4027D" w:rsidRDefault="009A47D6">
      <w:pPr>
        <w:numPr>
          <w:ilvl w:val="0"/>
          <w:numId w:val="1"/>
        </w:numPr>
        <w:spacing w:after="20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color w:val="212121"/>
          <w:sz w:val="24"/>
          <w:szCs w:val="24"/>
          <w:highlight w:val="white"/>
        </w:rPr>
        <w:t xml:space="preserve">Aydın Sayılan, A., &amp; Özbaş, A. (2018). The Effect of Pelvic Floor Muscle Training On Incontinence Problems After Radical Prostatectomy. </w:t>
      </w:r>
      <w:r>
        <w:rPr>
          <w:rFonts w:ascii="Times New Roman" w:eastAsia="Times New Roman" w:hAnsi="Times New Roman" w:cs="Times New Roman"/>
          <w:i/>
          <w:iCs/>
          <w:color w:val="212121"/>
          <w:sz w:val="24"/>
          <w:szCs w:val="24"/>
          <w:highlight w:val="white"/>
        </w:rPr>
        <w:t>American journal of men's health</w:t>
      </w:r>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i/>
          <w:iCs/>
          <w:color w:val="212121"/>
          <w:sz w:val="24"/>
          <w:szCs w:val="24"/>
          <w:highlight w:val="white"/>
        </w:rPr>
        <w:t>12</w:t>
      </w:r>
      <w:r>
        <w:rPr>
          <w:rFonts w:ascii="Times New Roman" w:eastAsia="Times New Roman" w:hAnsi="Times New Roman" w:cs="Times New Roman"/>
          <w:color w:val="212121"/>
          <w:sz w:val="24"/>
          <w:szCs w:val="24"/>
          <w:highlight w:val="white"/>
        </w:rPr>
        <w:t xml:space="preserve">(4), 1007–1015. </w:t>
      </w:r>
      <w:hyperlink r:id="rId7">
        <w:r>
          <w:rPr>
            <w:rFonts w:ascii="Times New Roman" w:eastAsia="Times New Roman" w:hAnsi="Times New Roman" w:cs="Times New Roman"/>
            <w:color w:val="1155CC"/>
            <w:sz w:val="24"/>
            <w:szCs w:val="24"/>
            <w:highlight w:val="white"/>
          </w:rPr>
          <w:t>https://doi.org/10.1177/1557988318757242</w:t>
        </w:r>
      </w:hyperlink>
    </w:p>
    <w:p w14:paraId="0000007A" w14:textId="77777777" w:rsidR="00A4027D" w:rsidRDefault="009A47D6">
      <w:pPr>
        <w:numPr>
          <w:ilvl w:val="0"/>
          <w:numId w:val="1"/>
        </w:numPr>
        <w:shd w:val="clear" w:color="auto" w:fill="FFFFFF"/>
        <w:spacing w:before="180" w:after="200"/>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sz w:val="24"/>
          <w:szCs w:val="24"/>
          <w:highlight w:val="white"/>
        </w:rPr>
        <w:t xml:space="preserve">Lucas, M. G., Stephenson, T. P., &amp; Nargund, V. (2005). Tamsulosin in the management of patients in acute urinary retention from benign prostatic hyperplasia. </w:t>
      </w:r>
      <w:r>
        <w:rPr>
          <w:rFonts w:ascii="Times New Roman" w:eastAsia="Times New Roman" w:hAnsi="Times New Roman" w:cs="Times New Roman"/>
          <w:i/>
          <w:iCs/>
          <w:sz w:val="24"/>
          <w:szCs w:val="24"/>
          <w:highlight w:val="white"/>
        </w:rPr>
        <w:t>BJU international</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95</w:t>
      </w:r>
      <w:r>
        <w:rPr>
          <w:rFonts w:ascii="Times New Roman" w:eastAsia="Times New Roman" w:hAnsi="Times New Roman" w:cs="Times New Roman"/>
          <w:sz w:val="24"/>
          <w:szCs w:val="24"/>
          <w:highlight w:val="white"/>
        </w:rPr>
        <w:t xml:space="preserve">(3), 354–357. </w:t>
      </w:r>
      <w:hyperlink r:id="rId8">
        <w:r>
          <w:rPr>
            <w:rFonts w:ascii="Times New Roman" w:eastAsia="Times New Roman" w:hAnsi="Times New Roman" w:cs="Times New Roman"/>
            <w:color w:val="1155CC"/>
            <w:sz w:val="24"/>
            <w:szCs w:val="24"/>
            <w:highlight w:val="white"/>
            <w:u w:val="single"/>
          </w:rPr>
          <w:t>https://doi.org/10.1111/j.1464-410X.2005.05299.x</w:t>
        </w:r>
      </w:hyperlink>
    </w:p>
    <w:p w14:paraId="0000007B" w14:textId="77777777" w:rsidR="00A4027D" w:rsidRDefault="009A47D6">
      <w:pPr>
        <w:numPr>
          <w:ilvl w:val="0"/>
          <w:numId w:val="1"/>
        </w:numPr>
        <w:shd w:val="clear" w:color="auto" w:fill="FFFFFF"/>
        <w:spacing w:before="180" w:after="200"/>
        <w:rPr>
          <w:rFonts w:ascii="Times New Roman" w:eastAsia="Times New Roman" w:hAnsi="Times New Roman" w:cs="Times New Roman"/>
          <w:color w:val="1B1B1B"/>
          <w:sz w:val="24"/>
          <w:szCs w:val="24"/>
          <w:highlight w:val="white"/>
        </w:rPr>
      </w:pPr>
      <w:r>
        <w:rPr>
          <w:rFonts w:ascii="Times New Roman" w:eastAsia="Times New Roman" w:hAnsi="Times New Roman" w:cs="Times New Roman"/>
          <w:color w:val="1B1B1B"/>
          <w:sz w:val="24"/>
          <w:szCs w:val="24"/>
          <w:highlight w:val="white"/>
        </w:rPr>
        <w:t>Guang-Jun, D., Feng-Bin, G., &amp; Xun-Bo, J. (2015). A1-blockers in the management of acute urinary retention secondary to benign prostatic hyperplasia: a systematic review and meta-analysis</w:t>
      </w:r>
      <w:r>
        <w:rPr>
          <w:rFonts w:ascii="Times New Roman" w:eastAsia="Times New Roman" w:hAnsi="Times New Roman" w:cs="Times New Roman"/>
          <w:i/>
          <w:iCs/>
          <w:color w:val="1B1B1B"/>
          <w:sz w:val="24"/>
          <w:szCs w:val="24"/>
          <w:highlight w:val="white"/>
        </w:rPr>
        <w:t>. Irish Journal of Medical Science (1971-) 184</w:t>
      </w:r>
      <w:r>
        <w:rPr>
          <w:rFonts w:ascii="Times New Roman" w:eastAsia="Times New Roman" w:hAnsi="Times New Roman" w:cs="Times New Roman"/>
          <w:color w:val="1B1B1B"/>
          <w:sz w:val="24"/>
          <w:szCs w:val="24"/>
          <w:highlight w:val="white"/>
        </w:rPr>
        <w:t>(1), 23-30.</w:t>
      </w:r>
    </w:p>
    <w:p w14:paraId="0000007C" w14:textId="77777777" w:rsidR="00A4027D" w:rsidRDefault="009A47D6">
      <w:pPr>
        <w:numPr>
          <w:ilvl w:val="0"/>
          <w:numId w:val="1"/>
        </w:numPr>
        <w:spacing w:after="20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Tennant K, Long A, Toney-Butler TJ. Active Listening. [Updated 2023 Sep 13]. In: StatPearls [Internet]. Treasure Island (FL): StatPearls Publishing; 2026 Jan-. Available from: https://www.ncbi.nlm.nih.gov/books/NBK442015/</w:t>
      </w:r>
      <w:r>
        <w:rPr>
          <w:rFonts w:ascii="Times New Roman" w:eastAsia="Times New Roman" w:hAnsi="Times New Roman" w:cs="Times New Roman"/>
          <w:b/>
          <w:bCs/>
          <w:sz w:val="24"/>
          <w:szCs w:val="24"/>
        </w:rPr>
        <w:t xml:space="preserve"> </w:t>
      </w:r>
    </w:p>
    <w:p w14:paraId="0000007D" w14:textId="77777777" w:rsidR="00A4027D" w:rsidRDefault="009A47D6">
      <w:pPr>
        <w:numPr>
          <w:ilvl w:val="0"/>
          <w:numId w:val="1"/>
        </w:numPr>
        <w:spacing w:after="200"/>
        <w:rPr>
          <w:rFonts w:ascii="Times New Roman" w:eastAsia="Times New Roman" w:hAnsi="Times New Roman" w:cs="Times New Roman"/>
          <w:sz w:val="24"/>
          <w:szCs w:val="24"/>
        </w:rPr>
      </w:pPr>
      <w:r>
        <w:rPr>
          <w:rFonts w:ascii="Times New Roman" w:eastAsia="Times New Roman" w:hAnsi="Times New Roman" w:cs="Times New Roman"/>
          <w:color w:val="1B1B1B"/>
          <w:sz w:val="24"/>
          <w:szCs w:val="24"/>
          <w:highlight w:val="white"/>
        </w:rPr>
        <w:t xml:space="preserve">Howick, J., Bennett-Weston, A., Solomon, J., Nockels, K., Bostock, J., &amp; Keshtkar, L. (2024). How does communication affect patient safety? Protocol for a systematic review and logic model. </w:t>
      </w:r>
      <w:r>
        <w:rPr>
          <w:rFonts w:ascii="Times New Roman" w:eastAsia="Times New Roman" w:hAnsi="Times New Roman" w:cs="Times New Roman"/>
          <w:i/>
          <w:iCs/>
          <w:color w:val="1B1B1B"/>
          <w:sz w:val="24"/>
          <w:szCs w:val="24"/>
          <w:highlight w:val="white"/>
        </w:rPr>
        <w:t>BMJ open</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14</w:t>
      </w:r>
      <w:r>
        <w:rPr>
          <w:rFonts w:ascii="Times New Roman" w:eastAsia="Times New Roman" w:hAnsi="Times New Roman" w:cs="Times New Roman"/>
          <w:color w:val="1B1B1B"/>
          <w:sz w:val="24"/>
          <w:szCs w:val="24"/>
          <w:highlight w:val="white"/>
        </w:rPr>
        <w:t>(5), e085312. https://doi.org/10.1136/bmjopen-2024-085312</w:t>
      </w:r>
      <w:r>
        <w:rPr>
          <w:rFonts w:ascii="Times New Roman" w:eastAsia="Times New Roman" w:hAnsi="Times New Roman" w:cs="Times New Roman"/>
          <w:sz w:val="24"/>
          <w:szCs w:val="24"/>
        </w:rPr>
        <w:t xml:space="preserve"> </w:t>
      </w:r>
    </w:p>
    <w:p w14:paraId="0000007E" w14:textId="77777777" w:rsidR="00A4027D" w:rsidRDefault="009A47D6">
      <w:pPr>
        <w:numPr>
          <w:ilvl w:val="0"/>
          <w:numId w:val="1"/>
        </w:num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Melgoza E, Falk D, Bustamante A, et al. Cost-related delayed or forgone care and emergency department visits among latino adults. </w:t>
      </w:r>
      <w:r>
        <w:rPr>
          <w:rFonts w:ascii="Times New Roman" w:eastAsia="Times New Roman" w:hAnsi="Times New Roman" w:cs="Times New Roman"/>
          <w:i/>
          <w:iCs/>
          <w:sz w:val="24"/>
          <w:szCs w:val="24"/>
        </w:rPr>
        <w:t xml:space="preserve">JAMA. </w:t>
      </w:r>
      <w:r>
        <w:rPr>
          <w:rFonts w:ascii="Times New Roman" w:eastAsia="Times New Roman" w:hAnsi="Times New Roman" w:cs="Times New Roman"/>
          <w:color w:val="333333"/>
          <w:sz w:val="25"/>
          <w:szCs w:val="25"/>
          <w:highlight w:val="white"/>
        </w:rPr>
        <w:t>2026;9(3):e260237.</w:t>
      </w:r>
    </w:p>
    <w:p w14:paraId="0000007F" w14:textId="77777777" w:rsidR="00A4027D" w:rsidRDefault="009A47D6">
      <w:pPr>
        <w:numPr>
          <w:ilvl w:val="0"/>
          <w:numId w:val="1"/>
        </w:numPr>
        <w:spacing w:after="200"/>
        <w:rPr>
          <w:rFonts w:ascii="Times New Roman" w:eastAsia="Times New Roman" w:hAnsi="Times New Roman" w:cs="Times New Roman"/>
          <w:color w:val="333333"/>
          <w:sz w:val="25"/>
          <w:szCs w:val="25"/>
          <w:highlight w:val="white"/>
        </w:rPr>
      </w:pPr>
      <w:r>
        <w:rPr>
          <w:rFonts w:ascii="Times New Roman" w:eastAsia="Times New Roman" w:hAnsi="Times New Roman" w:cs="Times New Roman"/>
          <w:sz w:val="24"/>
          <w:szCs w:val="24"/>
        </w:rPr>
        <w:t xml:space="preserve">Sparks G, Lopes L, Montero A, et al. (2026, April 30). </w:t>
      </w:r>
      <w:r>
        <w:rPr>
          <w:rFonts w:ascii="Times New Roman" w:eastAsia="Times New Roman" w:hAnsi="Times New Roman" w:cs="Times New Roman"/>
          <w:i/>
          <w:iCs/>
          <w:sz w:val="24"/>
          <w:szCs w:val="24"/>
        </w:rPr>
        <w:t>Americans’ challenges with health care costs</w:t>
      </w:r>
      <w:r>
        <w:rPr>
          <w:rFonts w:ascii="Times New Roman" w:eastAsia="Times New Roman" w:hAnsi="Times New Roman" w:cs="Times New Roman"/>
          <w:sz w:val="24"/>
          <w:szCs w:val="24"/>
        </w:rPr>
        <w:t xml:space="preserve">. KFF. </w:t>
      </w:r>
      <w:hyperlink r:id="rId9">
        <w:r>
          <w:rPr>
            <w:rFonts w:ascii="Times New Roman" w:eastAsia="Times New Roman" w:hAnsi="Times New Roman" w:cs="Times New Roman"/>
            <w:color w:val="1155CC"/>
            <w:sz w:val="24"/>
            <w:szCs w:val="24"/>
            <w:u w:val="single"/>
          </w:rPr>
          <w:t>https://www.kff.org/health-costs/americans-challenges-with-health-care-costs/</w:t>
        </w:r>
      </w:hyperlink>
    </w:p>
    <w:p w14:paraId="00000080" w14:textId="77777777" w:rsidR="00A4027D" w:rsidRDefault="009A47D6">
      <w:pPr>
        <w:numPr>
          <w:ilvl w:val="0"/>
          <w:numId w:val="1"/>
        </w:numPr>
        <w:shd w:val="clear" w:color="auto" w:fill="FFFFFF"/>
        <w:spacing w:after="200" w:line="312" w:lineRule="auto"/>
        <w:rPr>
          <w:rFonts w:ascii="Times New Roman" w:eastAsia="Times New Roman" w:hAnsi="Times New Roman" w:cs="Times New Roman"/>
          <w:color w:val="333333"/>
          <w:sz w:val="25"/>
          <w:szCs w:val="25"/>
          <w:highlight w:val="white"/>
        </w:rPr>
      </w:pPr>
      <w:r>
        <w:rPr>
          <w:rFonts w:ascii="Times New Roman" w:eastAsia="Times New Roman" w:hAnsi="Times New Roman" w:cs="Times New Roman"/>
          <w:color w:val="1B1B1B"/>
          <w:sz w:val="24"/>
          <w:szCs w:val="24"/>
          <w:highlight w:val="white"/>
        </w:rPr>
        <w:t xml:space="preserve">Vrtikapa, K., Hoque Urmy, F., &amp; Hoque, F. (2025). Social Determinants of Health: The Impact of This Overlooked Vital Sign. </w:t>
      </w:r>
      <w:r>
        <w:rPr>
          <w:rFonts w:ascii="Times New Roman" w:eastAsia="Times New Roman" w:hAnsi="Times New Roman" w:cs="Times New Roman"/>
          <w:i/>
          <w:iCs/>
          <w:color w:val="1B1B1B"/>
          <w:sz w:val="24"/>
          <w:szCs w:val="24"/>
          <w:highlight w:val="white"/>
        </w:rPr>
        <w:t>Journal of Brown Hospital Medicine</w:t>
      </w:r>
      <w:r>
        <w:rPr>
          <w:rFonts w:ascii="Times New Roman" w:eastAsia="Times New Roman" w:hAnsi="Times New Roman" w:cs="Times New Roman"/>
          <w:color w:val="1B1B1B"/>
          <w:sz w:val="24"/>
          <w:szCs w:val="24"/>
          <w:highlight w:val="white"/>
        </w:rPr>
        <w:t xml:space="preserve">, </w:t>
      </w:r>
      <w:r>
        <w:rPr>
          <w:rFonts w:ascii="Times New Roman" w:eastAsia="Times New Roman" w:hAnsi="Times New Roman" w:cs="Times New Roman"/>
          <w:i/>
          <w:iCs/>
          <w:color w:val="1B1B1B"/>
          <w:sz w:val="24"/>
          <w:szCs w:val="24"/>
          <w:highlight w:val="white"/>
        </w:rPr>
        <w:t>4</w:t>
      </w:r>
      <w:r>
        <w:rPr>
          <w:rFonts w:ascii="Times New Roman" w:eastAsia="Times New Roman" w:hAnsi="Times New Roman" w:cs="Times New Roman"/>
          <w:color w:val="1B1B1B"/>
          <w:sz w:val="24"/>
          <w:szCs w:val="24"/>
          <w:highlight w:val="white"/>
        </w:rPr>
        <w:t>(3), 138072. https://doi.org/10.56305/001c.138072</w:t>
      </w:r>
    </w:p>
    <w:p w14:paraId="00000081" w14:textId="77777777" w:rsidR="00A4027D" w:rsidRDefault="009A47D6">
      <w:pPr>
        <w:numPr>
          <w:ilvl w:val="0"/>
          <w:numId w:val="1"/>
        </w:numPr>
        <w:spacing w:after="20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Arpey, N. C., Gaglioti, A. H., &amp; Rosenbaum, M. E. (2017). How Socioeconomic Status Affects Patient Perceptions of Health Care: A Qualitative Study. </w:t>
      </w:r>
      <w:r>
        <w:rPr>
          <w:rFonts w:ascii="Times New Roman" w:eastAsia="Times New Roman" w:hAnsi="Times New Roman" w:cs="Times New Roman"/>
          <w:i/>
          <w:iCs/>
          <w:sz w:val="24"/>
          <w:szCs w:val="24"/>
          <w:highlight w:val="white"/>
        </w:rPr>
        <w:t>Journal of primary care &amp; community health</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8</w:t>
      </w:r>
      <w:r>
        <w:rPr>
          <w:rFonts w:ascii="Times New Roman" w:eastAsia="Times New Roman" w:hAnsi="Times New Roman" w:cs="Times New Roman"/>
          <w:sz w:val="24"/>
          <w:szCs w:val="24"/>
          <w:highlight w:val="white"/>
        </w:rPr>
        <w:t xml:space="preserve">(3), 169–175. https://doi.org/10.1177/2150131917697439 </w:t>
      </w:r>
    </w:p>
    <w:p w14:paraId="00000082" w14:textId="77777777" w:rsidR="00A4027D" w:rsidRDefault="00A4027D">
      <w:pPr>
        <w:rPr>
          <w:rFonts w:ascii="Times New Roman" w:eastAsia="Times New Roman" w:hAnsi="Times New Roman" w:cs="Times New Roman"/>
          <w:b/>
          <w:bCs/>
          <w:sz w:val="24"/>
          <w:szCs w:val="24"/>
        </w:rPr>
      </w:pPr>
    </w:p>
    <w:p w14:paraId="00000083" w14:textId="77777777" w:rsidR="00A4027D" w:rsidRDefault="00A4027D">
      <w:pPr>
        <w:spacing w:line="240" w:lineRule="auto"/>
        <w:rPr>
          <w:rFonts w:ascii="Times New Roman" w:eastAsia="Times New Roman" w:hAnsi="Times New Roman" w:cs="Times New Roman"/>
          <w:color w:val="222222"/>
          <w:sz w:val="24"/>
          <w:szCs w:val="24"/>
          <w:highlight w:val="white"/>
        </w:rPr>
      </w:pPr>
    </w:p>
    <w:sectPr w:rsidR="00A4027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AB7657F-0765-44AF-8F9C-F29322EE7B00}"/>
  </w:font>
  <w:font w:name="Cambria">
    <w:panose1 w:val="02040503050406030204"/>
    <w:charset w:val="00"/>
    <w:family w:val="roman"/>
    <w:pitch w:val="variable"/>
    <w:sig w:usb0="E00006FF" w:usb1="420024FF" w:usb2="02000000" w:usb3="00000000" w:csb0="0000019F" w:csb1="00000000"/>
    <w:embedRegular r:id="rId2" w:fontKey="{7D14D7EF-A944-440C-9083-018FC4D4683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D09E4"/>
    <w:multiLevelType w:val="multilevel"/>
    <w:tmpl w:val="19704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55673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27D"/>
    <w:rsid w:val="006B6B99"/>
    <w:rsid w:val="009A47D6"/>
    <w:rsid w:val="00A4027D"/>
    <w:rsid w:val="00E04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28B33C01-23D1-4B09-B45A-76DFB5DE2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111/j.1464-410X.2005.05299.x" TargetMode="External"/><Relationship Id="rId3" Type="http://schemas.openxmlformats.org/officeDocument/2006/relationships/settings" Target="settings.xml"/><Relationship Id="rId7" Type="http://schemas.openxmlformats.org/officeDocument/2006/relationships/hyperlink" Target="https://doi.org/10.1177/15579883187572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clevelandclinic.org/health/symptoms/24248-lower-urinary-tract-symptoms" TargetMode="External"/><Relationship Id="rId11" Type="http://schemas.openxmlformats.org/officeDocument/2006/relationships/theme" Target="theme/theme1.xml"/><Relationship Id="rId5" Type="http://schemas.openxmlformats.org/officeDocument/2006/relationships/hyperlink" Target="https://doi.org/10.1016/j.gtc.2008.06.00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ff.org/health-costs/americans-challenges-with-health-care-cost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4096</Words>
  <Characters>23350</Characters>
  <Application>Microsoft Office Word</Application>
  <DocSecurity>4</DocSecurity>
  <Lines>194</Lines>
  <Paragraphs>54</Paragraphs>
  <ScaleCrop>false</ScaleCrop>
  <Company/>
  <LinksUpToDate>false</LinksUpToDate>
  <CharactersWithSpaces>27392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DeLaet</dc:creator>
  <cp:lastModifiedBy>David DeLaet</cp:lastModifiedBy>
  <cp:revision>2</cp:revision>
  <dcterms:created xsi:type="dcterms:W3CDTF">2026-05-14T17:15:00Z</dcterms:created>
  <dcterms:modified xsi:type="dcterms:W3CDTF">2026-05-14T17:15:00Z</dcterms:modified>
</cp:coreProperties>
</file>